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41A4" w14:textId="77777777" w:rsidR="00646F0B" w:rsidRDefault="006030FE">
      <w:pPr>
        <w:spacing w:after="0"/>
        <w:ind w:left="35"/>
        <w:jc w:val="center"/>
      </w:pPr>
      <w:r>
        <w:rPr>
          <w:b/>
          <w:sz w:val="24"/>
        </w:rPr>
        <w:t xml:space="preserve"> </w:t>
      </w:r>
    </w:p>
    <w:p w14:paraId="010BF3B8" w14:textId="77777777" w:rsidR="00646F0B" w:rsidRDefault="006030FE">
      <w:pPr>
        <w:spacing w:after="0"/>
        <w:ind w:left="35"/>
        <w:jc w:val="center"/>
      </w:pPr>
      <w:r>
        <w:rPr>
          <w:b/>
          <w:sz w:val="24"/>
        </w:rPr>
        <w:t xml:space="preserve"> </w:t>
      </w:r>
    </w:p>
    <w:p w14:paraId="429183BB" w14:textId="11BD3749" w:rsidR="00646F0B" w:rsidRPr="0005087C" w:rsidRDefault="0005087C" w:rsidP="0005087C">
      <w:pPr>
        <w:spacing w:after="0"/>
        <w:ind w:right="21"/>
        <w:jc w:val="center"/>
        <w:rPr>
          <w:rFonts w:ascii="Arial" w:hAnsi="Arial" w:cs="Arial"/>
          <w:bCs/>
        </w:rPr>
      </w:pPr>
      <w:r w:rsidRPr="0005087C">
        <w:rPr>
          <w:rFonts w:ascii="Arial" w:hAnsi="Arial" w:cs="Arial"/>
          <w:bCs/>
          <w:sz w:val="24"/>
          <w:u w:val="single" w:color="000000"/>
        </w:rPr>
        <w:t>Uniform Complaint Procedures and Policies</w:t>
      </w:r>
    </w:p>
    <w:p w14:paraId="63776504" w14:textId="77777777" w:rsidR="00646F0B" w:rsidRDefault="006030FE">
      <w:pPr>
        <w:spacing w:after="0"/>
      </w:pPr>
      <w:r>
        <w:rPr>
          <w:sz w:val="24"/>
        </w:rPr>
        <w:t xml:space="preserve"> </w:t>
      </w:r>
    </w:p>
    <w:p w14:paraId="766B25B6" w14:textId="77777777" w:rsidR="00646F0B" w:rsidRDefault="006030FE">
      <w:pPr>
        <w:pStyle w:val="Heading1"/>
        <w:numPr>
          <w:ilvl w:val="0"/>
          <w:numId w:val="0"/>
        </w:numPr>
      </w:pPr>
      <w:r>
        <w:t>Scope</w:t>
      </w:r>
      <w:r>
        <w:rPr>
          <w:b/>
          <w:u w:val="none"/>
        </w:rPr>
        <w:t xml:space="preserve"> </w:t>
      </w:r>
    </w:p>
    <w:p w14:paraId="0792C077" w14:textId="77777777" w:rsidR="00646F0B" w:rsidRDefault="006030FE">
      <w:pPr>
        <w:spacing w:after="0"/>
      </w:pPr>
      <w:r>
        <w:rPr>
          <w:b/>
          <w:sz w:val="24"/>
        </w:rPr>
        <w:t xml:space="preserve"> </w:t>
      </w:r>
    </w:p>
    <w:p w14:paraId="23EE46C3" w14:textId="5FDCB6F2" w:rsidR="00646F0B" w:rsidRDefault="0005087C">
      <w:pPr>
        <w:spacing w:after="265" w:line="216" w:lineRule="auto"/>
        <w:ind w:right="10"/>
        <w:jc w:val="both"/>
      </w:pPr>
      <w:r>
        <w:rPr>
          <w:sz w:val="24"/>
        </w:rPr>
        <w:t>Sycamore Creek Community Charter School’s</w:t>
      </w:r>
      <w:r w:rsidR="006030FE">
        <w:rPr>
          <w:sz w:val="24"/>
        </w:rPr>
        <w:t xml:space="preserve"> (“</w:t>
      </w:r>
      <w:r>
        <w:rPr>
          <w:sz w:val="24"/>
        </w:rPr>
        <w:t>SCCCS</w:t>
      </w:r>
      <w:r w:rsidR="006030FE">
        <w:rPr>
          <w:sz w:val="24"/>
        </w:rPr>
        <w:t xml:space="preserve">”) policy is to comply with applicable federal and state laws and regulations. </w:t>
      </w:r>
      <w:r>
        <w:rPr>
          <w:sz w:val="24"/>
        </w:rPr>
        <w:t>SCCCS</w:t>
      </w:r>
      <w:r w:rsidR="006030FE">
        <w:rPr>
          <w:sz w:val="24"/>
        </w:rPr>
        <w:t xml:space="preserve"> is the local agency primarily responsible for compliance with federal and state laws and regulations governing educational programs. Pursuant to this policy, persons responsible for conducting investigations shall be knowledgeable about the laws and programs which they are assigned to investigate. This complaint procedure is adopted to provide a uniform system of complaint processing for the following types of complaints: </w:t>
      </w:r>
    </w:p>
    <w:p w14:paraId="071D5CCB" w14:textId="463083D6" w:rsidR="00646F0B" w:rsidRDefault="006030FE">
      <w:pPr>
        <w:numPr>
          <w:ilvl w:val="0"/>
          <w:numId w:val="1"/>
        </w:numPr>
        <w:spacing w:after="269" w:line="216" w:lineRule="auto"/>
        <w:ind w:right="10" w:hanging="360"/>
        <w:jc w:val="both"/>
      </w:pPr>
      <w:r>
        <w:rPr>
          <w:sz w:val="24"/>
        </w:rPr>
        <w:t xml:space="preserve">Complaints of discrimination against any protected group, including actual or perceived discrimination, on the basis of age, sex, sexual orientation, gender, gender identity, gender expression, ethnic group identification, race, ancestry, national origin, religion, color, or mental or physical disability, or on the basis of a person’s association with a person or group with one or more of these actual or perceived characteristics in any </w:t>
      </w:r>
      <w:r w:rsidR="0005087C">
        <w:rPr>
          <w:sz w:val="24"/>
        </w:rPr>
        <w:t>SCCCS</w:t>
      </w:r>
      <w:r>
        <w:rPr>
          <w:sz w:val="24"/>
        </w:rPr>
        <w:t xml:space="preserve"> program or activity; and  </w:t>
      </w:r>
    </w:p>
    <w:p w14:paraId="0C7D82D5" w14:textId="7945D2A0" w:rsidR="00646F0B" w:rsidRDefault="006030FE">
      <w:pPr>
        <w:numPr>
          <w:ilvl w:val="0"/>
          <w:numId w:val="1"/>
        </w:numPr>
        <w:spacing w:after="268" w:line="218" w:lineRule="auto"/>
        <w:ind w:right="10" w:hanging="360"/>
        <w:jc w:val="both"/>
      </w:pPr>
      <w:r>
        <w:rPr>
          <w:sz w:val="24"/>
        </w:rPr>
        <w:t>Complaints of violations of state or federal law and regulations governing the following programs including but not limited to:</w:t>
      </w:r>
      <w:r w:rsidR="0005087C">
        <w:rPr>
          <w:sz w:val="24"/>
        </w:rPr>
        <w:t xml:space="preserve"> special education, Title II, Section 504 of the Rehabilitation Act,</w:t>
      </w:r>
      <w:r>
        <w:rPr>
          <w:sz w:val="24"/>
        </w:rPr>
        <w:t xml:space="preserve"> </w:t>
      </w:r>
      <w:r>
        <w:rPr>
          <w:color w:val="212121"/>
          <w:sz w:val="18"/>
        </w:rPr>
        <w:t xml:space="preserve"> </w:t>
      </w:r>
      <w:r>
        <w:rPr>
          <w:sz w:val="24"/>
        </w:rPr>
        <w:t xml:space="preserve">consolidated categorical aid, No Child Left Behind, </w:t>
      </w:r>
      <w:r w:rsidR="00570D38">
        <w:rPr>
          <w:sz w:val="24"/>
        </w:rPr>
        <w:t>general education</w:t>
      </w:r>
      <w:r>
        <w:rPr>
          <w:sz w:val="24"/>
        </w:rPr>
        <w:t>,</w:t>
      </w:r>
      <w:r w:rsidR="00570D38">
        <w:rPr>
          <w:sz w:val="24"/>
        </w:rPr>
        <w:t xml:space="preserve"> specialty program and/or</w:t>
      </w:r>
      <w:r>
        <w:rPr>
          <w:sz w:val="24"/>
        </w:rPr>
        <w:t xml:space="preserve"> child nutrition program. </w:t>
      </w:r>
    </w:p>
    <w:p w14:paraId="4610E9DD" w14:textId="77777777" w:rsidR="00646F0B" w:rsidRDefault="006030FE">
      <w:pPr>
        <w:numPr>
          <w:ilvl w:val="0"/>
          <w:numId w:val="1"/>
        </w:numPr>
        <w:spacing w:after="269" w:line="216" w:lineRule="auto"/>
        <w:ind w:right="10" w:hanging="360"/>
        <w:jc w:val="both"/>
      </w:pPr>
      <w:r>
        <w:rPr>
          <w:sz w:val="24"/>
        </w:rPr>
        <w:t>A complaint may also be filed alleging that a pupil enrolled in a public school was required to pay a pupil fee</w:t>
      </w:r>
      <w:r>
        <w:rPr>
          <w:b/>
          <w:sz w:val="24"/>
        </w:rPr>
        <w:t xml:space="preserve"> </w:t>
      </w:r>
      <w:r>
        <w:rPr>
          <w:sz w:val="24"/>
        </w:rPr>
        <w:t xml:space="preserve">for participation in an educational activity as those terms are defined below. </w:t>
      </w:r>
    </w:p>
    <w:p w14:paraId="11E89DE0" w14:textId="77777777" w:rsidR="00646F0B" w:rsidRDefault="006030FE">
      <w:pPr>
        <w:numPr>
          <w:ilvl w:val="1"/>
          <w:numId w:val="1"/>
        </w:numPr>
        <w:spacing w:after="0" w:line="216" w:lineRule="auto"/>
        <w:ind w:right="10" w:hanging="360"/>
        <w:jc w:val="both"/>
      </w:pPr>
      <w:r>
        <w:rPr>
          <w:sz w:val="24"/>
        </w:rPr>
        <w:t xml:space="preserve">“Educational activity” means an activity offered by a school, school district, charter school or county office of education that constitutes an integral fundamental part of elementary and secondary education, including, but not limited to, curricular and extracurricular activities.  </w:t>
      </w:r>
    </w:p>
    <w:p w14:paraId="23FD6501" w14:textId="77777777" w:rsidR="00646F0B" w:rsidRDefault="006030FE">
      <w:pPr>
        <w:spacing w:after="0"/>
        <w:ind w:left="1440"/>
      </w:pPr>
      <w:r>
        <w:rPr>
          <w:sz w:val="24"/>
        </w:rPr>
        <w:t xml:space="preserve"> </w:t>
      </w:r>
    </w:p>
    <w:p w14:paraId="4B18ADE8" w14:textId="4E3E7372" w:rsidR="00646F0B" w:rsidRDefault="006030FE">
      <w:pPr>
        <w:numPr>
          <w:ilvl w:val="1"/>
          <w:numId w:val="1"/>
        </w:numPr>
        <w:spacing w:after="0" w:line="216" w:lineRule="auto"/>
        <w:ind w:right="10" w:hanging="360"/>
        <w:jc w:val="both"/>
      </w:pPr>
      <w:r>
        <w:rPr>
          <w:sz w:val="24"/>
        </w:rPr>
        <w:t xml:space="preserve">“Pupil fee” means a fee, deposit or other charge imposed on pupils, or a pupil’s parents or guardians, in violation of Section 49011 and Section 5 of Article IX of the California Constitution, which require educational activities to be provided free of charge to all pupils without regard to their families’ ability or willingness to pay fees or request special waivers, as provided for in </w:t>
      </w:r>
      <w:r>
        <w:rPr>
          <w:i/>
          <w:sz w:val="24"/>
        </w:rPr>
        <w:t xml:space="preserve">Hertzell v. Connell </w:t>
      </w:r>
      <w:r>
        <w:rPr>
          <w:sz w:val="24"/>
        </w:rPr>
        <w:t xml:space="preserve">(1984) 35 Cal.3d 899. A pupil fee includes, but is not limited to, all of the following:  </w:t>
      </w:r>
    </w:p>
    <w:p w14:paraId="0CD46F42" w14:textId="77777777" w:rsidR="00646F0B" w:rsidRDefault="006030FE">
      <w:pPr>
        <w:spacing w:after="0"/>
        <w:ind w:left="1440"/>
      </w:pPr>
      <w:r>
        <w:rPr>
          <w:sz w:val="24"/>
        </w:rPr>
        <w:t xml:space="preserve"> </w:t>
      </w:r>
    </w:p>
    <w:p w14:paraId="4CBCDF83" w14:textId="3DEC86F3" w:rsidR="00646F0B" w:rsidRDefault="006030FE">
      <w:pPr>
        <w:numPr>
          <w:ilvl w:val="2"/>
          <w:numId w:val="1"/>
        </w:numPr>
        <w:spacing w:after="0" w:line="216" w:lineRule="auto"/>
        <w:ind w:right="11" w:hanging="447"/>
        <w:jc w:val="both"/>
      </w:pPr>
      <w:r>
        <w:rPr>
          <w:sz w:val="24"/>
        </w:rPr>
        <w:t xml:space="preserve">A fee charged to a pupil as a condition for registering for school or classes, or as a condition for participation in a class or an extracurricular activity, regardless of whether the class or activity is elective or </w:t>
      </w:r>
      <w:r w:rsidR="0005087C">
        <w:rPr>
          <w:sz w:val="24"/>
        </w:rPr>
        <w:t>compulsory or</w:t>
      </w:r>
      <w:r>
        <w:rPr>
          <w:sz w:val="24"/>
        </w:rPr>
        <w:t xml:space="preserve"> is for credit.  </w:t>
      </w:r>
    </w:p>
    <w:p w14:paraId="04D788B3" w14:textId="77777777" w:rsidR="00646F0B" w:rsidRDefault="006030FE">
      <w:pPr>
        <w:spacing w:after="0"/>
        <w:ind w:left="2160"/>
      </w:pPr>
      <w:r>
        <w:rPr>
          <w:sz w:val="24"/>
        </w:rPr>
        <w:t xml:space="preserve"> </w:t>
      </w:r>
    </w:p>
    <w:p w14:paraId="5BA3E1EA" w14:textId="4A208455" w:rsidR="00646F0B" w:rsidRDefault="006030FE">
      <w:pPr>
        <w:numPr>
          <w:ilvl w:val="2"/>
          <w:numId w:val="1"/>
        </w:numPr>
        <w:spacing w:after="0" w:line="216" w:lineRule="auto"/>
        <w:ind w:right="11" w:hanging="447"/>
        <w:jc w:val="both"/>
      </w:pPr>
      <w:r>
        <w:rPr>
          <w:sz w:val="24"/>
        </w:rPr>
        <w:t>A security deposit, or other payment, that a pupil is required to make to obtain</w:t>
      </w:r>
      <w:r w:rsidR="0005087C">
        <w:rPr>
          <w:sz w:val="24"/>
        </w:rPr>
        <w:t xml:space="preserve"> a</w:t>
      </w:r>
      <w:r>
        <w:rPr>
          <w:sz w:val="24"/>
        </w:rPr>
        <w:t xml:space="preserve"> book, class apparatus, musical instrument, uniform or other materials or equipment.  </w:t>
      </w:r>
    </w:p>
    <w:p w14:paraId="391EB243" w14:textId="77777777" w:rsidR="00646F0B" w:rsidRDefault="006030FE">
      <w:pPr>
        <w:spacing w:after="0"/>
        <w:ind w:left="2160"/>
      </w:pPr>
      <w:r>
        <w:rPr>
          <w:sz w:val="24"/>
        </w:rPr>
        <w:lastRenderedPageBreak/>
        <w:t xml:space="preserve"> </w:t>
      </w:r>
    </w:p>
    <w:p w14:paraId="69A98F86" w14:textId="77777777" w:rsidR="00646F0B" w:rsidRDefault="006030FE">
      <w:pPr>
        <w:numPr>
          <w:ilvl w:val="2"/>
          <w:numId w:val="1"/>
        </w:numPr>
        <w:spacing w:after="0" w:line="216" w:lineRule="auto"/>
        <w:ind w:right="11" w:hanging="447"/>
        <w:jc w:val="both"/>
      </w:pPr>
      <w:r>
        <w:rPr>
          <w:sz w:val="24"/>
        </w:rPr>
        <w:t xml:space="preserve">A purchase that a pupil is required to make to obtain materials, supplies, equipment or uniforms associated with an educational activity.  </w:t>
      </w:r>
    </w:p>
    <w:p w14:paraId="28F40A0F" w14:textId="77777777" w:rsidR="00646F0B" w:rsidRDefault="006030FE">
      <w:pPr>
        <w:spacing w:after="0"/>
        <w:ind w:left="2160"/>
      </w:pPr>
      <w:r>
        <w:rPr>
          <w:sz w:val="24"/>
        </w:rPr>
        <w:t xml:space="preserve"> </w:t>
      </w:r>
    </w:p>
    <w:p w14:paraId="35329706" w14:textId="3601E78D" w:rsidR="00646F0B" w:rsidRDefault="006030FE">
      <w:pPr>
        <w:numPr>
          <w:ilvl w:val="1"/>
          <w:numId w:val="1"/>
        </w:numPr>
        <w:spacing w:after="0" w:line="216" w:lineRule="auto"/>
        <w:ind w:right="10" w:hanging="360"/>
        <w:jc w:val="both"/>
      </w:pPr>
      <w:r>
        <w:rPr>
          <w:sz w:val="24"/>
        </w:rPr>
        <w:t xml:space="preserve">Nothing in this section shall be interpreted to prohibit solicitation of voluntary donations of funds or property, voluntary participation in fundraising activities, or school districts, school, and other entities from providing pupils prizes or other recognition for voluntarily participating in fundraising activities. </w:t>
      </w:r>
    </w:p>
    <w:p w14:paraId="70D89625" w14:textId="77777777" w:rsidR="00646F0B" w:rsidRDefault="006030FE">
      <w:pPr>
        <w:spacing w:after="0"/>
        <w:ind w:left="1440"/>
      </w:pPr>
      <w:r>
        <w:rPr>
          <w:sz w:val="24"/>
        </w:rPr>
        <w:t xml:space="preserve"> </w:t>
      </w:r>
    </w:p>
    <w:p w14:paraId="400508E5" w14:textId="198A254D" w:rsidR="00646F0B" w:rsidRDefault="0005087C">
      <w:pPr>
        <w:spacing w:after="0" w:line="216" w:lineRule="auto"/>
        <w:ind w:right="10"/>
        <w:jc w:val="both"/>
      </w:pPr>
      <w:r>
        <w:rPr>
          <w:sz w:val="24"/>
        </w:rPr>
        <w:t>SCCCS</w:t>
      </w:r>
      <w:r w:rsidR="006030FE">
        <w:rPr>
          <w:sz w:val="24"/>
        </w:rPr>
        <w:t xml:space="preserve"> acknowledges and respects every individual’s rights to privacy. Discrimination complaints shall be investigated in a manner that protects [to the greatest extent reasonably possible] the confidentiality of the parties and the integrity of the process.  </w:t>
      </w:r>
      <w:r>
        <w:rPr>
          <w:sz w:val="24"/>
        </w:rPr>
        <w:t>SCCCS</w:t>
      </w:r>
      <w:r w:rsidR="006030FE">
        <w:rPr>
          <w:sz w:val="24"/>
        </w:rPr>
        <w:t xml:space="preserve"> cannot guarantee anonymity of the complainant. This includes keeping the identity of the complainant confidential.  However, </w:t>
      </w:r>
      <w:r w:rsidR="008405C3">
        <w:rPr>
          <w:sz w:val="24"/>
        </w:rPr>
        <w:t>SCCCS</w:t>
      </w:r>
      <w:r w:rsidR="006030FE">
        <w:rPr>
          <w:sz w:val="24"/>
        </w:rPr>
        <w:t xml:space="preserve"> will attempt to do so as appropriate.  </w:t>
      </w:r>
      <w:r w:rsidR="008405C3">
        <w:rPr>
          <w:sz w:val="24"/>
        </w:rPr>
        <w:t xml:space="preserve">SCCCS </w:t>
      </w:r>
      <w:r w:rsidR="006030FE">
        <w:rPr>
          <w:sz w:val="24"/>
        </w:rPr>
        <w:t xml:space="preserve">may find it necessary to disclose information regarding the complaint/complainant to the extent necessary to carry out the investigation or proceedings, as determined by the </w:t>
      </w:r>
      <w:r w:rsidR="008405C3">
        <w:rPr>
          <w:sz w:val="24"/>
        </w:rPr>
        <w:t>Executive Director</w:t>
      </w:r>
      <w:r w:rsidR="006030FE">
        <w:rPr>
          <w:sz w:val="24"/>
        </w:rPr>
        <w:t xml:space="preserve"> or designee on a case-by-case basis. </w:t>
      </w:r>
    </w:p>
    <w:p w14:paraId="1C3311FC" w14:textId="77777777" w:rsidR="00646F0B" w:rsidRDefault="006030FE">
      <w:pPr>
        <w:spacing w:after="0"/>
      </w:pPr>
      <w:r>
        <w:rPr>
          <w:sz w:val="24"/>
        </w:rPr>
        <w:t xml:space="preserve"> </w:t>
      </w:r>
    </w:p>
    <w:p w14:paraId="6E45AD63" w14:textId="61DA1CDE" w:rsidR="00646F0B" w:rsidRDefault="008405C3">
      <w:pPr>
        <w:spacing w:after="0" w:line="216" w:lineRule="auto"/>
        <w:ind w:right="11"/>
        <w:jc w:val="both"/>
      </w:pPr>
      <w:r>
        <w:rPr>
          <w:sz w:val="24"/>
        </w:rPr>
        <w:t>SCCCS</w:t>
      </w:r>
      <w:r w:rsidR="006030FE">
        <w:rPr>
          <w:sz w:val="24"/>
        </w:rPr>
        <w:t xml:space="preserve"> prohibits any form of retaliation against any complainant in the complaint process, including but not limited to a complainant’s filing of a complaint or the reporting of instances of discrimination. Such participation shall not in any way affect the status, grades or work assignments of the complainant. </w:t>
      </w:r>
    </w:p>
    <w:p w14:paraId="02199BB1" w14:textId="77777777" w:rsidR="00646F0B" w:rsidRDefault="006030FE">
      <w:pPr>
        <w:spacing w:after="0"/>
      </w:pPr>
      <w:r>
        <w:rPr>
          <w:sz w:val="24"/>
        </w:rPr>
        <w:t xml:space="preserve"> </w:t>
      </w:r>
    </w:p>
    <w:p w14:paraId="2B7677FF" w14:textId="5CF61860" w:rsidR="00646F0B" w:rsidRDefault="008405C3" w:rsidP="008405C3">
      <w:pPr>
        <w:pStyle w:val="Heading1"/>
        <w:numPr>
          <w:ilvl w:val="0"/>
          <w:numId w:val="0"/>
        </w:numPr>
      </w:pPr>
      <w:r>
        <w:t>Compliance Officers</w:t>
      </w:r>
    </w:p>
    <w:p w14:paraId="7AE628EF" w14:textId="77777777" w:rsidR="00646F0B" w:rsidRDefault="006030FE">
      <w:pPr>
        <w:spacing w:after="0"/>
      </w:pPr>
      <w:r>
        <w:rPr>
          <w:sz w:val="24"/>
        </w:rPr>
        <w:t xml:space="preserve"> </w:t>
      </w:r>
    </w:p>
    <w:p w14:paraId="6ABD4B9D" w14:textId="6DD9A865" w:rsidR="00646F0B" w:rsidRDefault="006030FE">
      <w:pPr>
        <w:spacing w:after="0" w:line="216" w:lineRule="auto"/>
      </w:pPr>
      <w:r>
        <w:rPr>
          <w:sz w:val="24"/>
        </w:rPr>
        <w:t xml:space="preserve">The </w:t>
      </w:r>
      <w:r w:rsidR="008405C3">
        <w:rPr>
          <w:sz w:val="24"/>
        </w:rPr>
        <w:t>SCCCS</w:t>
      </w:r>
      <w:r>
        <w:rPr>
          <w:sz w:val="24"/>
        </w:rPr>
        <w:t xml:space="preserve"> Board of </w:t>
      </w:r>
      <w:r w:rsidR="008405C3">
        <w:rPr>
          <w:sz w:val="24"/>
        </w:rPr>
        <w:t>Trustees</w:t>
      </w:r>
      <w:r>
        <w:rPr>
          <w:sz w:val="24"/>
        </w:rPr>
        <w:t xml:space="preserve"> designates the following Compliance Officer to receive and investigate complaints and to ensure </w:t>
      </w:r>
      <w:r w:rsidR="008405C3">
        <w:rPr>
          <w:sz w:val="24"/>
        </w:rPr>
        <w:t>SCCCS</w:t>
      </w:r>
      <w:r>
        <w:rPr>
          <w:sz w:val="24"/>
        </w:rPr>
        <w:t xml:space="preserve">’ compliance with law: </w:t>
      </w:r>
    </w:p>
    <w:p w14:paraId="7B0AAA5C" w14:textId="77777777" w:rsidR="00646F0B" w:rsidRDefault="006030FE">
      <w:pPr>
        <w:spacing w:after="0"/>
      </w:pPr>
      <w:r>
        <w:rPr>
          <w:sz w:val="24"/>
        </w:rPr>
        <w:t xml:space="preserve"> </w:t>
      </w:r>
    </w:p>
    <w:p w14:paraId="633693F0" w14:textId="415EF79D" w:rsidR="00646F0B" w:rsidRDefault="008405C3" w:rsidP="008405C3">
      <w:pPr>
        <w:spacing w:after="0" w:line="216" w:lineRule="auto"/>
        <w:ind w:left="720" w:right="7125"/>
      </w:pPr>
      <w:r>
        <w:rPr>
          <w:sz w:val="24"/>
        </w:rPr>
        <w:t>Dr. Sarah Bach</w:t>
      </w:r>
      <w:r w:rsidR="006030FE">
        <w:rPr>
          <w:sz w:val="24"/>
        </w:rPr>
        <w:t xml:space="preserve">, </w:t>
      </w:r>
      <w:r>
        <w:rPr>
          <w:sz w:val="24"/>
        </w:rPr>
        <w:t>Executive Director,</w:t>
      </w:r>
      <w:r w:rsidR="006030FE">
        <w:rPr>
          <w:sz w:val="24"/>
        </w:rPr>
        <w:t xml:space="preserve"> </w:t>
      </w:r>
      <w:r>
        <w:rPr>
          <w:sz w:val="24"/>
        </w:rPr>
        <w:t>Sycamore Creek Community Charter School</w:t>
      </w:r>
      <w:r w:rsidR="006030FE">
        <w:rPr>
          <w:sz w:val="24"/>
        </w:rPr>
        <w:t xml:space="preserve"> </w:t>
      </w:r>
      <w:r>
        <w:rPr>
          <w:sz w:val="24"/>
        </w:rPr>
        <w:t>17131 Emerald Lane</w:t>
      </w:r>
    </w:p>
    <w:p w14:paraId="3FD65C98" w14:textId="67F33290" w:rsidR="00646F0B" w:rsidRDefault="008405C3" w:rsidP="008405C3">
      <w:pPr>
        <w:spacing w:after="0"/>
        <w:ind w:left="720"/>
      </w:pPr>
      <w:r>
        <w:rPr>
          <w:sz w:val="24"/>
        </w:rPr>
        <w:t>Huntington Beach</w:t>
      </w:r>
      <w:r w:rsidR="006030FE">
        <w:rPr>
          <w:sz w:val="24"/>
        </w:rPr>
        <w:t>, C A 9</w:t>
      </w:r>
      <w:r>
        <w:rPr>
          <w:sz w:val="24"/>
        </w:rPr>
        <w:t>2647</w:t>
      </w:r>
      <w:r w:rsidR="006030FE">
        <w:rPr>
          <w:sz w:val="24"/>
        </w:rPr>
        <w:t xml:space="preserve"> </w:t>
      </w:r>
    </w:p>
    <w:p w14:paraId="1DAAF71B" w14:textId="77777777" w:rsidR="00646F0B" w:rsidRDefault="006030FE">
      <w:pPr>
        <w:spacing w:after="0"/>
        <w:ind w:left="720"/>
      </w:pPr>
      <w:r>
        <w:rPr>
          <w:sz w:val="24"/>
        </w:rPr>
        <w:t xml:space="preserve"> </w:t>
      </w:r>
    </w:p>
    <w:p w14:paraId="42D69004" w14:textId="34C245F5" w:rsidR="00646F0B" w:rsidRDefault="006030FE">
      <w:pPr>
        <w:spacing w:after="0" w:line="216" w:lineRule="auto"/>
        <w:ind w:right="10"/>
        <w:jc w:val="both"/>
      </w:pPr>
      <w:r>
        <w:rPr>
          <w:sz w:val="24"/>
        </w:rPr>
        <w:t xml:space="preserve">In the event it is alleged that the </w:t>
      </w:r>
      <w:r w:rsidR="008405C3">
        <w:rPr>
          <w:sz w:val="24"/>
        </w:rPr>
        <w:t>Executive Director</w:t>
      </w:r>
      <w:r>
        <w:rPr>
          <w:sz w:val="24"/>
        </w:rPr>
        <w:t xml:space="preserve"> took discriminatory action, the </w:t>
      </w:r>
      <w:r w:rsidR="008405C3">
        <w:rPr>
          <w:sz w:val="24"/>
        </w:rPr>
        <w:t>SCCCS</w:t>
      </w:r>
      <w:r>
        <w:rPr>
          <w:sz w:val="24"/>
        </w:rPr>
        <w:t xml:space="preserve"> Board of </w:t>
      </w:r>
      <w:r w:rsidR="008405C3">
        <w:rPr>
          <w:sz w:val="24"/>
        </w:rPr>
        <w:t>Trustee</w:t>
      </w:r>
      <w:r>
        <w:rPr>
          <w:sz w:val="24"/>
        </w:rPr>
        <w:t xml:space="preserve">s will either hire an outside, independent investigator to conduct the investigation or identify one or more members to serve as an investigator. </w:t>
      </w:r>
    </w:p>
    <w:p w14:paraId="3C5FAEB0" w14:textId="77777777" w:rsidR="00646F0B" w:rsidRDefault="006030FE">
      <w:pPr>
        <w:spacing w:after="0"/>
      </w:pPr>
      <w:r>
        <w:rPr>
          <w:sz w:val="24"/>
        </w:rPr>
        <w:t xml:space="preserve"> </w:t>
      </w:r>
    </w:p>
    <w:p w14:paraId="3DBD697C" w14:textId="6B4C85B3" w:rsidR="00646F0B" w:rsidRDefault="006030FE">
      <w:pPr>
        <w:spacing w:after="0" w:line="216" w:lineRule="auto"/>
        <w:ind w:right="10"/>
        <w:jc w:val="both"/>
        <w:rPr>
          <w:sz w:val="24"/>
        </w:rPr>
      </w:pPr>
      <w:r>
        <w:rPr>
          <w:sz w:val="24"/>
        </w:rPr>
        <w:t xml:space="preserve">The </w:t>
      </w:r>
      <w:r w:rsidR="008405C3">
        <w:rPr>
          <w:sz w:val="24"/>
        </w:rPr>
        <w:t xml:space="preserve">Executive Director </w:t>
      </w:r>
      <w:r>
        <w:rPr>
          <w:sz w:val="24"/>
        </w:rPr>
        <w:t xml:space="preserve">or designee shall ensure that employees designated to investigate complaints are knowledgeable about the laws and programs for which they are responsible. Designated employees may have access to legal counsel as determined by the </w:t>
      </w:r>
      <w:r w:rsidR="008405C3">
        <w:rPr>
          <w:sz w:val="24"/>
        </w:rPr>
        <w:t xml:space="preserve">Executive Director </w:t>
      </w:r>
      <w:r>
        <w:rPr>
          <w:sz w:val="24"/>
        </w:rPr>
        <w:t xml:space="preserve">or designee. </w:t>
      </w:r>
    </w:p>
    <w:p w14:paraId="71B21DC8" w14:textId="592D884D" w:rsidR="0074214E" w:rsidRDefault="0074214E">
      <w:pPr>
        <w:spacing w:after="0" w:line="216" w:lineRule="auto"/>
        <w:ind w:right="10"/>
        <w:jc w:val="both"/>
        <w:rPr>
          <w:sz w:val="24"/>
        </w:rPr>
      </w:pPr>
    </w:p>
    <w:p w14:paraId="42D2DB8C" w14:textId="2E3D6114" w:rsidR="0074214E" w:rsidRDefault="0074214E">
      <w:pPr>
        <w:spacing w:after="0" w:line="216" w:lineRule="auto"/>
        <w:ind w:right="10"/>
        <w:jc w:val="both"/>
        <w:rPr>
          <w:sz w:val="24"/>
        </w:rPr>
      </w:pPr>
    </w:p>
    <w:p w14:paraId="03C2003B" w14:textId="77777777" w:rsidR="0074214E" w:rsidRDefault="0074214E">
      <w:pPr>
        <w:spacing w:after="0" w:line="216" w:lineRule="auto"/>
        <w:ind w:right="10"/>
        <w:jc w:val="both"/>
      </w:pPr>
    </w:p>
    <w:p w14:paraId="268481D4" w14:textId="77777777" w:rsidR="00646F0B" w:rsidRDefault="006030FE">
      <w:pPr>
        <w:spacing w:after="0"/>
      </w:pPr>
      <w:r>
        <w:rPr>
          <w:sz w:val="24"/>
        </w:rPr>
        <w:t xml:space="preserve"> </w:t>
      </w:r>
    </w:p>
    <w:p w14:paraId="44757C4E" w14:textId="76CD46D8" w:rsidR="00646F0B" w:rsidRDefault="006030FE">
      <w:pPr>
        <w:pStyle w:val="Heading1"/>
        <w:numPr>
          <w:ilvl w:val="0"/>
          <w:numId w:val="0"/>
        </w:numPr>
      </w:pPr>
      <w:r>
        <w:lastRenderedPageBreak/>
        <w:t>N</w:t>
      </w:r>
      <w:r w:rsidR="008405C3">
        <w:t>otification</w:t>
      </w:r>
      <w:r>
        <w:rPr>
          <w:u w:val="none"/>
        </w:rPr>
        <w:t xml:space="preserve"> </w:t>
      </w:r>
    </w:p>
    <w:p w14:paraId="6A2E9174" w14:textId="77777777" w:rsidR="00646F0B" w:rsidRDefault="006030FE">
      <w:pPr>
        <w:spacing w:after="0"/>
      </w:pPr>
      <w:r>
        <w:rPr>
          <w:sz w:val="24"/>
        </w:rPr>
        <w:t xml:space="preserve"> </w:t>
      </w:r>
    </w:p>
    <w:p w14:paraId="178EF62B" w14:textId="735B91CB" w:rsidR="00646F0B" w:rsidRDefault="006030FE">
      <w:pPr>
        <w:spacing w:after="0" w:line="216" w:lineRule="auto"/>
        <w:ind w:right="9"/>
        <w:jc w:val="both"/>
      </w:pPr>
      <w:r>
        <w:rPr>
          <w:sz w:val="24"/>
        </w:rPr>
        <w:t xml:space="preserve">The </w:t>
      </w:r>
      <w:r w:rsidR="0074214E">
        <w:rPr>
          <w:sz w:val="24"/>
        </w:rPr>
        <w:t>Executive Director</w:t>
      </w:r>
      <w:r>
        <w:rPr>
          <w:sz w:val="24"/>
        </w:rPr>
        <w:t xml:space="preserve"> or designee shall annually provide written notification of </w:t>
      </w:r>
      <w:r w:rsidR="0074214E">
        <w:rPr>
          <w:sz w:val="24"/>
        </w:rPr>
        <w:t>SCCCS’</w:t>
      </w:r>
      <w:r>
        <w:rPr>
          <w:sz w:val="24"/>
        </w:rPr>
        <w:t xml:space="preserve"> uniform complaint procedures to students, employees, parents/guardians, the Governing Board, appropriate private officials or representatives, and other interested parties.  </w:t>
      </w:r>
    </w:p>
    <w:p w14:paraId="6286A018" w14:textId="77777777" w:rsidR="00646F0B" w:rsidRDefault="006030FE">
      <w:pPr>
        <w:spacing w:after="0"/>
      </w:pPr>
      <w:r>
        <w:rPr>
          <w:sz w:val="24"/>
        </w:rPr>
        <w:t xml:space="preserve"> </w:t>
      </w:r>
    </w:p>
    <w:p w14:paraId="61B895B4" w14:textId="6846A1A9" w:rsidR="00646F0B" w:rsidRDefault="006030FE">
      <w:pPr>
        <w:spacing w:after="0" w:line="216" w:lineRule="auto"/>
      </w:pPr>
      <w:r>
        <w:rPr>
          <w:sz w:val="24"/>
        </w:rPr>
        <w:t xml:space="preserve">The </w:t>
      </w:r>
      <w:r w:rsidR="0074214E">
        <w:rPr>
          <w:sz w:val="24"/>
        </w:rPr>
        <w:t xml:space="preserve">Executive Director </w:t>
      </w:r>
      <w:r>
        <w:rPr>
          <w:sz w:val="24"/>
        </w:rPr>
        <w:t xml:space="preserve">or designee shall make available copies of </w:t>
      </w:r>
      <w:r w:rsidR="0074214E">
        <w:rPr>
          <w:sz w:val="24"/>
        </w:rPr>
        <w:t>SCCCS’</w:t>
      </w:r>
      <w:r>
        <w:rPr>
          <w:sz w:val="24"/>
        </w:rPr>
        <w:t xml:space="preserve"> uniform complaint procedures free of charge.  </w:t>
      </w:r>
    </w:p>
    <w:p w14:paraId="01540432" w14:textId="77777777" w:rsidR="00646F0B" w:rsidRDefault="006030FE">
      <w:pPr>
        <w:spacing w:after="0"/>
      </w:pPr>
      <w:r>
        <w:rPr>
          <w:sz w:val="24"/>
        </w:rPr>
        <w:t xml:space="preserve"> </w:t>
      </w:r>
    </w:p>
    <w:p w14:paraId="0F319190" w14:textId="78B4CF9F" w:rsidR="00646F0B" w:rsidRDefault="006030FE">
      <w:pPr>
        <w:spacing w:after="0"/>
      </w:pPr>
      <w:r>
        <w:rPr>
          <w:sz w:val="24"/>
        </w:rPr>
        <w:t xml:space="preserve">The notice shall: </w:t>
      </w:r>
    </w:p>
    <w:p w14:paraId="7BA9F8E8" w14:textId="77777777" w:rsidR="00646F0B" w:rsidRDefault="006030FE">
      <w:pPr>
        <w:spacing w:after="0"/>
      </w:pPr>
      <w:r>
        <w:rPr>
          <w:sz w:val="24"/>
        </w:rPr>
        <w:t xml:space="preserve"> </w:t>
      </w:r>
    </w:p>
    <w:p w14:paraId="42BEDF72" w14:textId="77777777" w:rsidR="00646F0B" w:rsidRDefault="006030FE">
      <w:pPr>
        <w:numPr>
          <w:ilvl w:val="0"/>
          <w:numId w:val="2"/>
        </w:numPr>
        <w:spacing w:after="0"/>
        <w:ind w:hanging="360"/>
      </w:pPr>
      <w:r>
        <w:rPr>
          <w:rFonts w:ascii="Times New Roman" w:eastAsia="Times New Roman" w:hAnsi="Times New Roman" w:cs="Times New Roman"/>
          <w:sz w:val="24"/>
        </w:rPr>
        <w:t xml:space="preserve">Identify the person(s), position(s), or unit(s) responsible for receiving complaints. </w:t>
      </w:r>
    </w:p>
    <w:p w14:paraId="2F8EDDB9" w14:textId="77777777" w:rsidR="00646F0B" w:rsidRDefault="006030FE">
      <w:pPr>
        <w:spacing w:after="0"/>
      </w:pPr>
      <w:r>
        <w:rPr>
          <w:rFonts w:ascii="Times New Roman" w:eastAsia="Times New Roman" w:hAnsi="Times New Roman" w:cs="Times New Roman"/>
          <w:sz w:val="24"/>
        </w:rPr>
        <w:t xml:space="preserve"> </w:t>
      </w:r>
    </w:p>
    <w:p w14:paraId="16DCDCB9" w14:textId="77777777" w:rsidR="00646F0B" w:rsidRDefault="006030FE">
      <w:pPr>
        <w:numPr>
          <w:ilvl w:val="0"/>
          <w:numId w:val="2"/>
        </w:numPr>
        <w:spacing w:after="0" w:line="240" w:lineRule="auto"/>
        <w:ind w:hanging="360"/>
      </w:pPr>
      <w:r>
        <w:rPr>
          <w:rFonts w:ascii="Times New Roman" w:eastAsia="Times New Roman" w:hAnsi="Times New Roman" w:cs="Times New Roman"/>
          <w:sz w:val="24"/>
        </w:rPr>
        <w:t xml:space="preserve">Advise the complainant of any civil law remedies that may be available to him/her under state or federal discrimination laws, if applicable. </w:t>
      </w:r>
    </w:p>
    <w:p w14:paraId="320C68DE" w14:textId="77777777" w:rsidR="00646F0B" w:rsidRDefault="006030FE">
      <w:pPr>
        <w:spacing w:after="0"/>
      </w:pPr>
      <w:r>
        <w:rPr>
          <w:rFonts w:ascii="Times New Roman" w:eastAsia="Times New Roman" w:hAnsi="Times New Roman" w:cs="Times New Roman"/>
          <w:sz w:val="24"/>
        </w:rPr>
        <w:t xml:space="preserve"> </w:t>
      </w:r>
    </w:p>
    <w:p w14:paraId="211FE750" w14:textId="77777777" w:rsidR="00646F0B" w:rsidRDefault="006030FE">
      <w:pPr>
        <w:numPr>
          <w:ilvl w:val="0"/>
          <w:numId w:val="2"/>
        </w:numPr>
        <w:spacing w:after="0" w:line="238" w:lineRule="auto"/>
        <w:ind w:hanging="360"/>
      </w:pPr>
      <w:r>
        <w:rPr>
          <w:rFonts w:ascii="Times New Roman" w:eastAsia="Times New Roman" w:hAnsi="Times New Roman" w:cs="Times New Roman"/>
          <w:sz w:val="24"/>
        </w:rPr>
        <w:t xml:space="preserve">Advise the complainant of the appeal process pursuant to Education Code Section 262.3, including the complainant’s right to take the complaint directly to the California Department of Education (“CDE”) or to pursue remedies before civil courts or other public agencies. </w:t>
      </w:r>
    </w:p>
    <w:p w14:paraId="5FF9B9A8" w14:textId="77777777" w:rsidR="00646F0B" w:rsidRDefault="006030FE">
      <w:pPr>
        <w:spacing w:after="0"/>
      </w:pPr>
      <w:r>
        <w:rPr>
          <w:rFonts w:ascii="Times New Roman" w:eastAsia="Times New Roman" w:hAnsi="Times New Roman" w:cs="Times New Roman"/>
          <w:sz w:val="24"/>
        </w:rPr>
        <w:t xml:space="preserve"> </w:t>
      </w:r>
    </w:p>
    <w:p w14:paraId="0A545AD2" w14:textId="77777777" w:rsidR="00646F0B" w:rsidRDefault="006030FE">
      <w:pPr>
        <w:numPr>
          <w:ilvl w:val="0"/>
          <w:numId w:val="2"/>
        </w:numPr>
        <w:spacing w:after="0"/>
        <w:ind w:hanging="360"/>
      </w:pPr>
      <w:r>
        <w:rPr>
          <w:rFonts w:ascii="Times New Roman" w:eastAsia="Times New Roman" w:hAnsi="Times New Roman" w:cs="Times New Roman"/>
          <w:sz w:val="24"/>
        </w:rPr>
        <w:t xml:space="preserve">Include statements that: </w:t>
      </w:r>
    </w:p>
    <w:p w14:paraId="612CD645" w14:textId="77777777" w:rsidR="00646F0B" w:rsidRDefault="006030FE">
      <w:pPr>
        <w:spacing w:after="0"/>
        <w:ind w:left="720"/>
      </w:pPr>
      <w:r>
        <w:rPr>
          <w:rFonts w:ascii="Times New Roman" w:eastAsia="Times New Roman" w:hAnsi="Times New Roman" w:cs="Times New Roman"/>
          <w:sz w:val="24"/>
        </w:rPr>
        <w:t xml:space="preserve"> </w:t>
      </w:r>
    </w:p>
    <w:p w14:paraId="102506D0" w14:textId="3B08C0AB" w:rsidR="00646F0B" w:rsidRDefault="0074214E">
      <w:pPr>
        <w:numPr>
          <w:ilvl w:val="1"/>
          <w:numId w:val="2"/>
        </w:numPr>
        <w:spacing w:after="0"/>
        <w:ind w:hanging="360"/>
      </w:pPr>
      <w:r>
        <w:rPr>
          <w:rFonts w:ascii="Times New Roman" w:eastAsia="Times New Roman" w:hAnsi="Times New Roman" w:cs="Times New Roman"/>
          <w:sz w:val="24"/>
        </w:rPr>
        <w:t>SCCCS</w:t>
      </w:r>
      <w:r w:rsidR="006030FE">
        <w:rPr>
          <w:rFonts w:ascii="Times New Roman" w:eastAsia="Times New Roman" w:hAnsi="Times New Roman" w:cs="Times New Roman"/>
          <w:sz w:val="24"/>
        </w:rPr>
        <w:t xml:space="preserve"> is primarily responsible for compliance with state and federal laws and regulations; </w:t>
      </w:r>
    </w:p>
    <w:p w14:paraId="778302B2" w14:textId="77777777" w:rsidR="00646F0B" w:rsidRDefault="006030FE">
      <w:pPr>
        <w:spacing w:after="0"/>
        <w:ind w:left="720"/>
      </w:pPr>
      <w:r>
        <w:rPr>
          <w:rFonts w:ascii="Times New Roman" w:eastAsia="Times New Roman" w:hAnsi="Times New Roman" w:cs="Times New Roman"/>
          <w:sz w:val="24"/>
        </w:rPr>
        <w:t xml:space="preserve"> </w:t>
      </w:r>
    </w:p>
    <w:p w14:paraId="780B5C26" w14:textId="77777777" w:rsidR="00646F0B" w:rsidRDefault="006030FE">
      <w:pPr>
        <w:numPr>
          <w:ilvl w:val="1"/>
          <w:numId w:val="2"/>
        </w:numPr>
        <w:spacing w:after="5" w:line="236" w:lineRule="auto"/>
        <w:ind w:hanging="360"/>
      </w:pPr>
      <w:r>
        <w:rPr>
          <w:rFonts w:ascii="Times New Roman" w:eastAsia="Times New Roman" w:hAnsi="Times New Roman" w:cs="Times New Roman"/>
          <w:sz w:val="24"/>
        </w:rPr>
        <w:t xml:space="preserve">The complaint review shall be completed within sixty (60) calendar days from the date of receipt of the complaint unless the complainant agrees in writing to an extension of the timeline; </w:t>
      </w:r>
    </w:p>
    <w:p w14:paraId="66DB16D0" w14:textId="77777777" w:rsidR="00646F0B" w:rsidRDefault="006030FE">
      <w:pPr>
        <w:spacing w:after="0"/>
      </w:pPr>
      <w:r>
        <w:rPr>
          <w:rFonts w:ascii="Times New Roman" w:eastAsia="Times New Roman" w:hAnsi="Times New Roman" w:cs="Times New Roman"/>
          <w:sz w:val="24"/>
        </w:rPr>
        <w:t xml:space="preserve"> </w:t>
      </w:r>
    </w:p>
    <w:p w14:paraId="7E0710E3" w14:textId="77777777" w:rsidR="00646F0B" w:rsidRDefault="006030FE">
      <w:pPr>
        <w:numPr>
          <w:ilvl w:val="1"/>
          <w:numId w:val="2"/>
        </w:numPr>
        <w:spacing w:after="2" w:line="238" w:lineRule="auto"/>
        <w:ind w:hanging="360"/>
      </w:pPr>
      <w:r>
        <w:rPr>
          <w:rFonts w:ascii="Times New Roman" w:eastAsia="Times New Roman" w:hAnsi="Times New Roman" w:cs="Times New Roman"/>
          <w:sz w:val="24"/>
        </w:rPr>
        <w:t xml:space="preserve">An unlawful discrimination complaint must be filed not later than six (6) months from the date the alleged discrimination occurs, or six (6) months from the date the complainant first obtains knowledge of the facts of the alleged discrimination; </w:t>
      </w:r>
    </w:p>
    <w:p w14:paraId="701FC0CF" w14:textId="77777777" w:rsidR="00646F0B" w:rsidRDefault="006030FE">
      <w:pPr>
        <w:spacing w:after="0"/>
      </w:pPr>
      <w:r>
        <w:rPr>
          <w:rFonts w:ascii="Times New Roman" w:eastAsia="Times New Roman" w:hAnsi="Times New Roman" w:cs="Times New Roman"/>
          <w:sz w:val="24"/>
        </w:rPr>
        <w:t xml:space="preserve"> </w:t>
      </w:r>
    </w:p>
    <w:p w14:paraId="3A8BE8ED" w14:textId="410628EE" w:rsidR="00646F0B" w:rsidRDefault="006030FE" w:rsidP="006D03B5">
      <w:pPr>
        <w:numPr>
          <w:ilvl w:val="1"/>
          <w:numId w:val="2"/>
        </w:numPr>
        <w:spacing w:after="0"/>
        <w:ind w:hanging="360"/>
      </w:pPr>
      <w:r>
        <w:rPr>
          <w:rFonts w:ascii="Times New Roman" w:eastAsia="Times New Roman" w:hAnsi="Times New Roman" w:cs="Times New Roman"/>
          <w:sz w:val="24"/>
        </w:rPr>
        <w:t xml:space="preserve">The complainant has a right to appeal </w:t>
      </w:r>
      <w:r w:rsidR="0074214E">
        <w:rPr>
          <w:rFonts w:ascii="Times New Roman" w:eastAsia="Times New Roman" w:hAnsi="Times New Roman" w:cs="Times New Roman"/>
          <w:sz w:val="24"/>
        </w:rPr>
        <w:t>SCCCS’</w:t>
      </w:r>
      <w:r>
        <w:rPr>
          <w:rFonts w:ascii="Times New Roman" w:eastAsia="Times New Roman" w:hAnsi="Times New Roman" w:cs="Times New Roman"/>
          <w:sz w:val="24"/>
        </w:rPr>
        <w:t xml:space="preserve"> decision to the CDE by filing a written appeal within fifteen </w:t>
      </w:r>
      <w:r w:rsidRPr="006D03B5">
        <w:rPr>
          <w:rFonts w:ascii="Times New Roman" w:eastAsia="Times New Roman" w:hAnsi="Times New Roman" w:cs="Times New Roman"/>
          <w:sz w:val="24"/>
        </w:rPr>
        <w:t xml:space="preserve">(15) days of receiving </w:t>
      </w:r>
      <w:r w:rsidR="006D03B5">
        <w:rPr>
          <w:rFonts w:ascii="Times New Roman" w:eastAsia="Times New Roman" w:hAnsi="Times New Roman" w:cs="Times New Roman"/>
          <w:sz w:val="24"/>
        </w:rPr>
        <w:t>SCCCS;</w:t>
      </w:r>
      <w:r w:rsidRPr="006D03B5">
        <w:rPr>
          <w:rFonts w:ascii="Times New Roman" w:eastAsia="Times New Roman" w:hAnsi="Times New Roman" w:cs="Times New Roman"/>
          <w:sz w:val="24"/>
        </w:rPr>
        <w:t xml:space="preserve"> decision; and </w:t>
      </w:r>
    </w:p>
    <w:p w14:paraId="2473A8DC" w14:textId="77777777" w:rsidR="00646F0B" w:rsidRDefault="006030FE">
      <w:pPr>
        <w:spacing w:after="0"/>
      </w:pPr>
      <w:r>
        <w:rPr>
          <w:rFonts w:ascii="Times New Roman" w:eastAsia="Times New Roman" w:hAnsi="Times New Roman" w:cs="Times New Roman"/>
          <w:sz w:val="24"/>
        </w:rPr>
        <w:t xml:space="preserve"> </w:t>
      </w:r>
    </w:p>
    <w:p w14:paraId="0421D4D2" w14:textId="3B0A9F8A" w:rsidR="00646F0B" w:rsidRDefault="006030FE">
      <w:pPr>
        <w:numPr>
          <w:ilvl w:val="1"/>
          <w:numId w:val="2"/>
        </w:numPr>
        <w:spacing w:after="0" w:line="236" w:lineRule="auto"/>
        <w:ind w:hanging="360"/>
      </w:pPr>
      <w:r>
        <w:rPr>
          <w:rFonts w:ascii="Times New Roman" w:eastAsia="Times New Roman" w:hAnsi="Times New Roman" w:cs="Times New Roman"/>
          <w:sz w:val="24"/>
        </w:rPr>
        <w:t xml:space="preserve">The appeal to the CDE must include a copy of the complaint filed with </w:t>
      </w:r>
      <w:r w:rsidR="006D03B5">
        <w:rPr>
          <w:rFonts w:ascii="Times New Roman" w:eastAsia="Times New Roman" w:hAnsi="Times New Roman" w:cs="Times New Roman"/>
          <w:sz w:val="24"/>
        </w:rPr>
        <w:t>SCCCS</w:t>
      </w:r>
      <w:r>
        <w:rPr>
          <w:rFonts w:ascii="Times New Roman" w:eastAsia="Times New Roman" w:hAnsi="Times New Roman" w:cs="Times New Roman"/>
          <w:sz w:val="24"/>
        </w:rPr>
        <w:t xml:space="preserve"> and a copy of </w:t>
      </w:r>
      <w:r w:rsidR="006D03B5">
        <w:rPr>
          <w:rFonts w:ascii="Times New Roman" w:eastAsia="Times New Roman" w:hAnsi="Times New Roman" w:cs="Times New Roman"/>
          <w:sz w:val="24"/>
        </w:rPr>
        <w:t>SCCCS’</w:t>
      </w:r>
      <w:r>
        <w:rPr>
          <w:rFonts w:ascii="Times New Roman" w:eastAsia="Times New Roman" w:hAnsi="Times New Roman" w:cs="Times New Roman"/>
          <w:sz w:val="24"/>
        </w:rPr>
        <w:t xml:space="preserve"> decision. </w:t>
      </w:r>
    </w:p>
    <w:p w14:paraId="20EE280D" w14:textId="77777777" w:rsidR="00646F0B" w:rsidRDefault="006030FE">
      <w:pPr>
        <w:spacing w:after="0"/>
      </w:pPr>
      <w:r>
        <w:rPr>
          <w:sz w:val="24"/>
        </w:rPr>
        <w:t xml:space="preserve"> </w:t>
      </w:r>
    </w:p>
    <w:p w14:paraId="6B833131" w14:textId="77777777" w:rsidR="00646F0B" w:rsidRDefault="006030FE">
      <w:pPr>
        <w:pStyle w:val="Heading1"/>
        <w:numPr>
          <w:ilvl w:val="0"/>
          <w:numId w:val="0"/>
        </w:numPr>
      </w:pPr>
      <w:r>
        <w:t>Procedures</w:t>
      </w:r>
      <w:r>
        <w:rPr>
          <w:u w:val="none"/>
        </w:rPr>
        <w:t xml:space="preserve"> </w:t>
      </w:r>
    </w:p>
    <w:p w14:paraId="23032707" w14:textId="77777777" w:rsidR="00646F0B" w:rsidRDefault="006030FE">
      <w:pPr>
        <w:spacing w:after="0"/>
      </w:pPr>
      <w:r>
        <w:rPr>
          <w:sz w:val="24"/>
        </w:rPr>
        <w:t xml:space="preserve"> </w:t>
      </w:r>
    </w:p>
    <w:p w14:paraId="4AFD05B1" w14:textId="683FDD4A" w:rsidR="00646F0B" w:rsidRDefault="006030FE">
      <w:pPr>
        <w:spacing w:after="0" w:line="216" w:lineRule="auto"/>
        <w:ind w:right="11"/>
        <w:jc w:val="both"/>
      </w:pPr>
      <w:r>
        <w:rPr>
          <w:sz w:val="24"/>
        </w:rPr>
        <w:t xml:space="preserve">The following procedures shall be used to address all complaints which allege that </w:t>
      </w:r>
      <w:r w:rsidR="006D03B5">
        <w:rPr>
          <w:sz w:val="24"/>
        </w:rPr>
        <w:t>SCCCS</w:t>
      </w:r>
      <w:r>
        <w:rPr>
          <w:sz w:val="24"/>
        </w:rPr>
        <w:t xml:space="preserve"> has violated federal or state laws or regulations governing educational programs. Compliance officers shall maintain a record of each complaint and subsequent related actions. </w:t>
      </w:r>
    </w:p>
    <w:p w14:paraId="67D04272" w14:textId="77777777" w:rsidR="00646F0B" w:rsidRDefault="006030FE">
      <w:pPr>
        <w:spacing w:after="0"/>
      </w:pPr>
      <w:r>
        <w:rPr>
          <w:sz w:val="24"/>
        </w:rPr>
        <w:lastRenderedPageBreak/>
        <w:t xml:space="preserve"> </w:t>
      </w:r>
    </w:p>
    <w:p w14:paraId="3B9205E0" w14:textId="77777777" w:rsidR="00646F0B" w:rsidRDefault="006030FE">
      <w:pPr>
        <w:spacing w:after="0" w:line="216" w:lineRule="auto"/>
      </w:pPr>
      <w:r>
        <w:rPr>
          <w:sz w:val="24"/>
        </w:rPr>
        <w:t xml:space="preserve">All parties involved in allegations shall be notified when a complaint is filed, when a complaint meeting or hearing is scheduled, and when a decision or ruling is made. </w:t>
      </w:r>
    </w:p>
    <w:p w14:paraId="6BF842E1" w14:textId="77777777" w:rsidR="00646F0B" w:rsidRDefault="006030FE">
      <w:pPr>
        <w:spacing w:after="0"/>
      </w:pPr>
      <w:r>
        <w:rPr>
          <w:sz w:val="24"/>
        </w:rPr>
        <w:t xml:space="preserve"> </w:t>
      </w:r>
    </w:p>
    <w:p w14:paraId="2E2AB025" w14:textId="75194542" w:rsidR="00646F0B" w:rsidRDefault="006030FE">
      <w:pPr>
        <w:pStyle w:val="Heading1"/>
        <w:numPr>
          <w:ilvl w:val="0"/>
          <w:numId w:val="0"/>
        </w:numPr>
        <w:ind w:left="360"/>
      </w:pPr>
      <w:r>
        <w:t>Step 1: Filing of Complaint</w:t>
      </w:r>
      <w:r>
        <w:rPr>
          <w:b/>
          <w:u w:val="none"/>
        </w:rPr>
        <w:t xml:space="preserve"> </w:t>
      </w:r>
    </w:p>
    <w:p w14:paraId="36B43F67" w14:textId="77777777" w:rsidR="00646F0B" w:rsidRDefault="006030FE">
      <w:pPr>
        <w:spacing w:after="0"/>
      </w:pPr>
      <w:r>
        <w:rPr>
          <w:b/>
          <w:sz w:val="24"/>
        </w:rPr>
        <w:t xml:space="preserve"> </w:t>
      </w:r>
    </w:p>
    <w:p w14:paraId="3BF12298" w14:textId="7BCF66A2" w:rsidR="00646F0B" w:rsidRDefault="006030FE">
      <w:pPr>
        <w:spacing w:after="0" w:line="216" w:lineRule="auto"/>
        <w:ind w:left="1080"/>
      </w:pPr>
      <w:r>
        <w:rPr>
          <w:sz w:val="24"/>
        </w:rPr>
        <w:t xml:space="preserve">Any individual, public agency, or organization may file a written complaint of alleged noncompliance by </w:t>
      </w:r>
      <w:r w:rsidR="006D03B5">
        <w:rPr>
          <w:sz w:val="24"/>
        </w:rPr>
        <w:t>SCCCS</w:t>
      </w:r>
      <w:r>
        <w:rPr>
          <w:sz w:val="24"/>
        </w:rPr>
        <w:t xml:space="preserve">.  </w:t>
      </w:r>
    </w:p>
    <w:p w14:paraId="2CC8E255" w14:textId="77777777" w:rsidR="00646F0B" w:rsidRDefault="006030FE">
      <w:pPr>
        <w:spacing w:after="0"/>
        <w:ind w:left="720"/>
      </w:pPr>
      <w:r>
        <w:rPr>
          <w:sz w:val="24"/>
        </w:rPr>
        <w:t xml:space="preserve"> </w:t>
      </w:r>
    </w:p>
    <w:p w14:paraId="319FAACD" w14:textId="77777777" w:rsidR="00646F0B" w:rsidRDefault="006030FE">
      <w:pPr>
        <w:spacing w:after="0" w:line="216" w:lineRule="auto"/>
        <w:ind w:left="1080" w:right="10"/>
        <w:jc w:val="both"/>
      </w:pPr>
      <w:r>
        <w:rPr>
          <w:sz w:val="24"/>
        </w:rPr>
        <w:t xml:space="preserve">A complaint alleging unlawful discrimination shall be initiated no later than six (6) months from the date when the alleged discrimination occurred, or six (6) months from the date when the complainant first obtained knowledge of the facts of the alleged discrimination.  A complaint may be filed by a person who alleges that he/she personally suffered unlawful discrimination or by a person who believes that an individual or any specific class of individuals has been subjected to unlawful discrimination.  </w:t>
      </w:r>
    </w:p>
    <w:p w14:paraId="55683EBB" w14:textId="77777777" w:rsidR="00646F0B" w:rsidRDefault="006030FE">
      <w:pPr>
        <w:spacing w:after="0"/>
        <w:ind w:left="720"/>
      </w:pPr>
      <w:r>
        <w:rPr>
          <w:sz w:val="24"/>
        </w:rPr>
        <w:t xml:space="preserve"> </w:t>
      </w:r>
    </w:p>
    <w:p w14:paraId="1B3B77FC" w14:textId="77777777" w:rsidR="00646F0B" w:rsidRDefault="006030FE">
      <w:pPr>
        <w:spacing w:after="0" w:line="216" w:lineRule="auto"/>
        <w:ind w:left="1080"/>
      </w:pPr>
      <w:r>
        <w:rPr>
          <w:sz w:val="24"/>
        </w:rPr>
        <w:t xml:space="preserve">The complaint shall be presented to the compliance officer who shall maintain a log of complaints received, providing each with a code number and date stamp. </w:t>
      </w:r>
    </w:p>
    <w:p w14:paraId="5376AF2D" w14:textId="77777777" w:rsidR="00646F0B" w:rsidRDefault="006030FE">
      <w:pPr>
        <w:spacing w:after="0"/>
        <w:ind w:left="720"/>
      </w:pPr>
      <w:r>
        <w:rPr>
          <w:sz w:val="24"/>
        </w:rPr>
        <w:t xml:space="preserve"> </w:t>
      </w:r>
    </w:p>
    <w:p w14:paraId="0B2B26C5" w14:textId="08E847AB" w:rsidR="00646F0B" w:rsidRDefault="006030FE">
      <w:pPr>
        <w:spacing w:after="0" w:line="216" w:lineRule="auto"/>
        <w:ind w:left="1080"/>
      </w:pPr>
      <w:r>
        <w:rPr>
          <w:sz w:val="24"/>
        </w:rPr>
        <w:t xml:space="preserve">If a complainant is unable to put a complaint in writing due to conditions such as a disability or illiteracy, Charter School staff shall assist </w:t>
      </w:r>
      <w:r w:rsidR="006D03B5">
        <w:rPr>
          <w:sz w:val="24"/>
        </w:rPr>
        <w:t>them</w:t>
      </w:r>
      <w:r>
        <w:rPr>
          <w:sz w:val="24"/>
        </w:rPr>
        <w:t xml:space="preserve"> in the filing of the complaint. </w:t>
      </w:r>
    </w:p>
    <w:p w14:paraId="117B09BE" w14:textId="77777777" w:rsidR="00646F0B" w:rsidRDefault="006030FE">
      <w:pPr>
        <w:spacing w:after="0"/>
        <w:ind w:left="720"/>
      </w:pPr>
      <w:r>
        <w:rPr>
          <w:sz w:val="24"/>
        </w:rPr>
        <w:t xml:space="preserve"> </w:t>
      </w:r>
    </w:p>
    <w:p w14:paraId="38317E03" w14:textId="77777777" w:rsidR="00646F0B" w:rsidRDefault="006030FE">
      <w:pPr>
        <w:pStyle w:val="Heading1"/>
        <w:numPr>
          <w:ilvl w:val="0"/>
          <w:numId w:val="0"/>
        </w:numPr>
        <w:ind w:left="360"/>
      </w:pPr>
      <w:r>
        <w:t>Step 2: Mediation</w:t>
      </w:r>
      <w:r>
        <w:rPr>
          <w:u w:val="none"/>
        </w:rPr>
        <w:t xml:space="preserve"> </w:t>
      </w:r>
    </w:p>
    <w:p w14:paraId="5DBC1793" w14:textId="77777777" w:rsidR="00646F0B" w:rsidRDefault="006030FE">
      <w:pPr>
        <w:spacing w:after="0"/>
      </w:pPr>
      <w:r>
        <w:rPr>
          <w:sz w:val="24"/>
        </w:rPr>
        <w:t xml:space="preserve"> </w:t>
      </w:r>
    </w:p>
    <w:p w14:paraId="13E13E1E" w14:textId="77777777" w:rsidR="00646F0B" w:rsidRDefault="006030FE">
      <w:pPr>
        <w:spacing w:after="0" w:line="216" w:lineRule="auto"/>
        <w:ind w:left="1080" w:right="10"/>
        <w:jc w:val="both"/>
      </w:pPr>
      <w:r>
        <w:rPr>
          <w:sz w:val="24"/>
        </w:rPr>
        <w:t xml:space="preserve">Within three (3) days of receiving the complaint, the compliance officer may informally discuss with the complainant the possibility of using mediation.  If the complainant agrees to mediation, the compliance officer shall make arrangements for this process. </w:t>
      </w:r>
    </w:p>
    <w:p w14:paraId="4318C4F6" w14:textId="77777777" w:rsidR="00646F0B" w:rsidRDefault="006030FE">
      <w:pPr>
        <w:spacing w:after="0"/>
        <w:ind w:left="2580"/>
      </w:pPr>
      <w:r>
        <w:rPr>
          <w:sz w:val="24"/>
        </w:rPr>
        <w:t xml:space="preserve"> </w:t>
      </w:r>
    </w:p>
    <w:p w14:paraId="2848F6D2" w14:textId="77777777" w:rsidR="00646F0B" w:rsidRDefault="006030FE">
      <w:pPr>
        <w:spacing w:after="0" w:line="216" w:lineRule="auto"/>
        <w:ind w:left="1080"/>
      </w:pPr>
      <w:r>
        <w:rPr>
          <w:sz w:val="24"/>
        </w:rPr>
        <w:t xml:space="preserve">Before initiating the mediation of a discrimination complaint, the compliance officer shall ensure that all parties agree to make the mediator a party to related confidential information. </w:t>
      </w:r>
    </w:p>
    <w:p w14:paraId="1231ADE2" w14:textId="77777777" w:rsidR="00646F0B" w:rsidRDefault="006030FE">
      <w:pPr>
        <w:spacing w:after="0"/>
        <w:ind w:left="720"/>
      </w:pPr>
      <w:r>
        <w:rPr>
          <w:sz w:val="24"/>
        </w:rPr>
        <w:t xml:space="preserve"> </w:t>
      </w:r>
    </w:p>
    <w:p w14:paraId="16E8778B" w14:textId="77777777" w:rsidR="00646F0B" w:rsidRDefault="006030FE">
      <w:pPr>
        <w:spacing w:after="0" w:line="216" w:lineRule="auto"/>
        <w:ind w:left="1080"/>
      </w:pPr>
      <w:r>
        <w:rPr>
          <w:sz w:val="24"/>
        </w:rPr>
        <w:t xml:space="preserve">If the mediation process does not resolve the problem within the parameters of law, the compliance officer shall proceed with his/her investigation of the complaint. </w:t>
      </w:r>
    </w:p>
    <w:p w14:paraId="6F3ECB10" w14:textId="77777777" w:rsidR="00646F0B" w:rsidRDefault="006030FE">
      <w:pPr>
        <w:spacing w:after="0"/>
        <w:ind w:left="720"/>
      </w:pPr>
      <w:r>
        <w:rPr>
          <w:sz w:val="24"/>
        </w:rPr>
        <w:t xml:space="preserve"> </w:t>
      </w:r>
    </w:p>
    <w:p w14:paraId="57010E29" w14:textId="4DC1CC1E" w:rsidR="00646F0B" w:rsidRDefault="006030FE">
      <w:pPr>
        <w:spacing w:after="0" w:line="216" w:lineRule="auto"/>
        <w:ind w:left="1080"/>
      </w:pPr>
      <w:r>
        <w:rPr>
          <w:sz w:val="24"/>
        </w:rPr>
        <w:t xml:space="preserve">The use of mediation shall not extend </w:t>
      </w:r>
      <w:r w:rsidR="006D03B5">
        <w:rPr>
          <w:sz w:val="24"/>
        </w:rPr>
        <w:t>SCCCS’</w:t>
      </w:r>
      <w:r>
        <w:rPr>
          <w:sz w:val="24"/>
        </w:rPr>
        <w:t xml:space="preserve"> timelines for investigating and resolving the complaint unless the complainant agrees in writing to such an extension of time.  </w:t>
      </w:r>
    </w:p>
    <w:p w14:paraId="5E8923B8" w14:textId="77777777" w:rsidR="00646F0B" w:rsidRDefault="006030FE">
      <w:pPr>
        <w:spacing w:after="0"/>
      </w:pPr>
      <w:r>
        <w:rPr>
          <w:sz w:val="24"/>
        </w:rPr>
        <w:t xml:space="preserve"> </w:t>
      </w:r>
    </w:p>
    <w:p w14:paraId="4E2C281A" w14:textId="1EC0866C" w:rsidR="00646F0B" w:rsidRDefault="006030FE">
      <w:pPr>
        <w:pStyle w:val="Heading1"/>
        <w:numPr>
          <w:ilvl w:val="0"/>
          <w:numId w:val="0"/>
        </w:numPr>
        <w:ind w:left="360"/>
      </w:pPr>
      <w:r>
        <w:t>Step 3: Investigation of Complaint</w:t>
      </w:r>
      <w:r>
        <w:rPr>
          <w:b/>
          <w:u w:val="none"/>
        </w:rPr>
        <w:t xml:space="preserve"> </w:t>
      </w:r>
    </w:p>
    <w:p w14:paraId="0F0B5A9F" w14:textId="77777777" w:rsidR="00646F0B" w:rsidRDefault="006030FE">
      <w:pPr>
        <w:spacing w:after="0"/>
      </w:pPr>
      <w:r>
        <w:rPr>
          <w:b/>
          <w:sz w:val="24"/>
        </w:rPr>
        <w:t xml:space="preserve"> </w:t>
      </w:r>
    </w:p>
    <w:p w14:paraId="41A02BD3" w14:textId="1F60B3FF" w:rsidR="00646F0B" w:rsidRDefault="006030FE">
      <w:pPr>
        <w:spacing w:after="0" w:line="216" w:lineRule="auto"/>
        <w:ind w:left="1080" w:right="10"/>
        <w:jc w:val="both"/>
      </w:pPr>
      <w:r>
        <w:rPr>
          <w:sz w:val="24"/>
        </w:rPr>
        <w:t>The compliance officer is encouraged to hold an investigative meeting within five (5) days of receiving the complaint or an unsuccessful attempt to mediate the complaint.  This meeting shall provide an opportunity for the complainant and</w:t>
      </w:r>
      <w:r w:rsidR="006D03B5">
        <w:rPr>
          <w:sz w:val="24"/>
        </w:rPr>
        <w:t xml:space="preserve"> their</w:t>
      </w:r>
      <w:r>
        <w:rPr>
          <w:sz w:val="24"/>
        </w:rPr>
        <w:t xml:space="preserve"> representative to repeat the complaint orally. </w:t>
      </w:r>
    </w:p>
    <w:p w14:paraId="38BE21FB" w14:textId="77777777" w:rsidR="00646F0B" w:rsidRDefault="006030FE">
      <w:pPr>
        <w:spacing w:after="0"/>
        <w:ind w:left="720"/>
      </w:pPr>
      <w:r>
        <w:rPr>
          <w:sz w:val="24"/>
        </w:rPr>
        <w:t xml:space="preserve"> </w:t>
      </w:r>
    </w:p>
    <w:p w14:paraId="712A7C56" w14:textId="6C723733" w:rsidR="00646F0B" w:rsidRDefault="006030FE">
      <w:pPr>
        <w:spacing w:after="0" w:line="216" w:lineRule="auto"/>
        <w:ind w:left="1080" w:right="9"/>
        <w:jc w:val="both"/>
      </w:pPr>
      <w:r>
        <w:rPr>
          <w:sz w:val="24"/>
        </w:rPr>
        <w:lastRenderedPageBreak/>
        <w:t xml:space="preserve">The complainant and/or </w:t>
      </w:r>
      <w:r w:rsidR="006D03B5">
        <w:rPr>
          <w:sz w:val="24"/>
        </w:rPr>
        <w:t>their</w:t>
      </w:r>
      <w:r>
        <w:rPr>
          <w:sz w:val="24"/>
        </w:rPr>
        <w:t xml:space="preserve"> representative shall have an opportunity to present the complaint and evidence or information leading to evidence to support the allegations in the complaint.  </w:t>
      </w:r>
    </w:p>
    <w:p w14:paraId="05F0ED80" w14:textId="77777777" w:rsidR="00646F0B" w:rsidRDefault="006030FE">
      <w:pPr>
        <w:spacing w:after="0"/>
        <w:ind w:left="720"/>
      </w:pPr>
      <w:r>
        <w:rPr>
          <w:sz w:val="24"/>
        </w:rPr>
        <w:t xml:space="preserve"> </w:t>
      </w:r>
    </w:p>
    <w:p w14:paraId="06D3FD87" w14:textId="009F349A" w:rsidR="00646F0B" w:rsidRDefault="006030FE">
      <w:pPr>
        <w:spacing w:after="0" w:line="216" w:lineRule="auto"/>
        <w:ind w:left="1080" w:right="10"/>
        <w:jc w:val="both"/>
      </w:pPr>
      <w:r>
        <w:rPr>
          <w:sz w:val="24"/>
        </w:rPr>
        <w:t xml:space="preserve">A complainant’s refusal to provide </w:t>
      </w:r>
      <w:r w:rsidR="006D03B5">
        <w:rPr>
          <w:sz w:val="24"/>
        </w:rPr>
        <w:t>SCCCS’</w:t>
      </w:r>
      <w:r>
        <w:rPr>
          <w:sz w:val="24"/>
        </w:rPr>
        <w:t xml:space="preserve"> investigator with documents or other evidence related to the allegations in the complaint, or </w:t>
      </w:r>
      <w:r w:rsidR="006D03B5">
        <w:rPr>
          <w:sz w:val="24"/>
        </w:rPr>
        <w:t>their</w:t>
      </w:r>
      <w:r>
        <w:rPr>
          <w:sz w:val="24"/>
        </w:rPr>
        <w:t xml:space="preserve"> failure or refusal to cooperate in the investigation or </w:t>
      </w:r>
      <w:r w:rsidR="006D03B5">
        <w:rPr>
          <w:sz w:val="24"/>
        </w:rPr>
        <w:t>their</w:t>
      </w:r>
      <w:r>
        <w:rPr>
          <w:sz w:val="24"/>
        </w:rPr>
        <w:t xml:space="preserve"> engagement in any other obstruction of the investigation, may result in the dismissal of the complaint because of a lack of evidence to support the allegation.  </w:t>
      </w:r>
    </w:p>
    <w:p w14:paraId="0DB1D619" w14:textId="77777777" w:rsidR="00646F0B" w:rsidRDefault="006030FE">
      <w:pPr>
        <w:spacing w:after="0"/>
        <w:ind w:left="720"/>
      </w:pPr>
      <w:r>
        <w:rPr>
          <w:sz w:val="24"/>
        </w:rPr>
        <w:t xml:space="preserve"> </w:t>
      </w:r>
    </w:p>
    <w:p w14:paraId="7A6F3D71" w14:textId="1A24FD5A" w:rsidR="00646F0B" w:rsidRDefault="006D03B5">
      <w:pPr>
        <w:spacing w:after="0" w:line="216" w:lineRule="auto"/>
        <w:ind w:left="1080" w:right="10"/>
        <w:jc w:val="both"/>
      </w:pPr>
      <w:r>
        <w:rPr>
          <w:sz w:val="24"/>
        </w:rPr>
        <w:t>SCCCS’</w:t>
      </w:r>
      <w:r w:rsidR="006030FE">
        <w:rPr>
          <w:sz w:val="24"/>
        </w:rPr>
        <w:t xml:space="preserve"> refusal to provide the investigator with access to records and/or other information related to the allegation in the complaint, or its failure or refusal to cooperate in the investigation or its engagement in any other obstruction of the investigation, may result in a finding, based on evidence collected, that a violation has occurred and may result in the imposition of a remedy in favor of the complainant.  </w:t>
      </w:r>
    </w:p>
    <w:p w14:paraId="18951961" w14:textId="77777777" w:rsidR="00646F0B" w:rsidRDefault="006030FE">
      <w:pPr>
        <w:spacing w:after="0"/>
      </w:pPr>
      <w:r>
        <w:rPr>
          <w:sz w:val="24"/>
        </w:rPr>
        <w:t xml:space="preserve"> </w:t>
      </w:r>
    </w:p>
    <w:p w14:paraId="2AFB657F" w14:textId="18182AA2" w:rsidR="00646F0B" w:rsidRDefault="006030FE">
      <w:pPr>
        <w:pStyle w:val="Heading1"/>
        <w:numPr>
          <w:ilvl w:val="0"/>
          <w:numId w:val="0"/>
        </w:numPr>
        <w:ind w:left="360"/>
      </w:pPr>
      <w:r>
        <w:t>Step 4: Response</w:t>
      </w:r>
      <w:r>
        <w:rPr>
          <w:b/>
          <w:u w:val="none"/>
        </w:rPr>
        <w:t xml:space="preserve"> </w:t>
      </w:r>
    </w:p>
    <w:p w14:paraId="09718904" w14:textId="77777777" w:rsidR="00646F0B" w:rsidRDefault="006030FE">
      <w:pPr>
        <w:spacing w:after="0"/>
      </w:pPr>
      <w:r>
        <w:rPr>
          <w:sz w:val="24"/>
        </w:rPr>
        <w:t xml:space="preserve"> </w:t>
      </w:r>
    </w:p>
    <w:p w14:paraId="63A203B1" w14:textId="23F94BA9" w:rsidR="00646F0B" w:rsidRDefault="006030FE">
      <w:pPr>
        <w:spacing w:after="0" w:line="216" w:lineRule="auto"/>
        <w:ind w:left="1080" w:right="11"/>
        <w:jc w:val="both"/>
      </w:pPr>
      <w:r>
        <w:rPr>
          <w:sz w:val="24"/>
        </w:rPr>
        <w:t xml:space="preserve">Unless extended by written agreement with the complainant, the compliance officer shall prepare and send to the complainant a written report of </w:t>
      </w:r>
      <w:r w:rsidR="006D03B5">
        <w:rPr>
          <w:sz w:val="24"/>
        </w:rPr>
        <w:t>SCCCS’</w:t>
      </w:r>
      <w:r>
        <w:rPr>
          <w:sz w:val="24"/>
        </w:rPr>
        <w:t xml:space="preserve"> investigation and decision, as described in Step #5 below, within sixty (60) days of </w:t>
      </w:r>
      <w:r w:rsidR="006D03B5">
        <w:rPr>
          <w:sz w:val="24"/>
        </w:rPr>
        <w:t>SCCCS’</w:t>
      </w:r>
      <w:r>
        <w:rPr>
          <w:sz w:val="24"/>
        </w:rPr>
        <w:t xml:space="preserve"> receipt of the complaint. </w:t>
      </w:r>
    </w:p>
    <w:p w14:paraId="597481B4" w14:textId="77777777" w:rsidR="00646F0B" w:rsidRDefault="006030FE">
      <w:pPr>
        <w:spacing w:after="0"/>
      </w:pPr>
      <w:r>
        <w:rPr>
          <w:sz w:val="24"/>
        </w:rPr>
        <w:t xml:space="preserve"> </w:t>
      </w:r>
    </w:p>
    <w:p w14:paraId="65A0BF83" w14:textId="72284085" w:rsidR="00646F0B" w:rsidRDefault="006030FE">
      <w:pPr>
        <w:pStyle w:val="Heading1"/>
        <w:numPr>
          <w:ilvl w:val="0"/>
          <w:numId w:val="0"/>
        </w:numPr>
        <w:ind w:left="360"/>
      </w:pPr>
      <w:r>
        <w:t>Step 5:  Final Written Decision</w:t>
      </w:r>
      <w:r>
        <w:rPr>
          <w:b/>
          <w:u w:val="none"/>
        </w:rPr>
        <w:t xml:space="preserve"> </w:t>
      </w:r>
    </w:p>
    <w:p w14:paraId="62DFFEB9" w14:textId="77777777" w:rsidR="00646F0B" w:rsidRDefault="006030FE">
      <w:pPr>
        <w:spacing w:after="0"/>
      </w:pPr>
      <w:r>
        <w:rPr>
          <w:sz w:val="24"/>
        </w:rPr>
        <w:t xml:space="preserve"> </w:t>
      </w:r>
    </w:p>
    <w:p w14:paraId="463BDBE5" w14:textId="674E04B8" w:rsidR="00646F0B" w:rsidRDefault="006D03B5">
      <w:pPr>
        <w:spacing w:after="0" w:line="216" w:lineRule="auto"/>
        <w:ind w:left="1080"/>
      </w:pPr>
      <w:r>
        <w:rPr>
          <w:sz w:val="24"/>
        </w:rPr>
        <w:t>SCCCS’</w:t>
      </w:r>
      <w:r w:rsidR="006030FE">
        <w:rPr>
          <w:sz w:val="24"/>
        </w:rPr>
        <w:t xml:space="preserve"> decision shall be in writing and sent to the complainant. </w:t>
      </w:r>
      <w:r>
        <w:rPr>
          <w:sz w:val="24"/>
        </w:rPr>
        <w:t>SCCCS’</w:t>
      </w:r>
      <w:r w:rsidR="006030FE">
        <w:rPr>
          <w:sz w:val="24"/>
        </w:rPr>
        <w:t xml:space="preserve"> decision shall be written in English and in the language of the complainant whenever feasible or as required by law. </w:t>
      </w:r>
    </w:p>
    <w:p w14:paraId="016FAE1F" w14:textId="77777777" w:rsidR="00646F0B" w:rsidRDefault="006030FE">
      <w:pPr>
        <w:spacing w:after="0"/>
        <w:ind w:left="720"/>
      </w:pPr>
      <w:r>
        <w:rPr>
          <w:sz w:val="24"/>
        </w:rPr>
        <w:t xml:space="preserve"> </w:t>
      </w:r>
    </w:p>
    <w:p w14:paraId="34778B24" w14:textId="3717F36A" w:rsidR="00646F0B" w:rsidRDefault="006030FE">
      <w:pPr>
        <w:spacing w:after="0"/>
        <w:ind w:left="1080"/>
      </w:pPr>
      <w:r>
        <w:rPr>
          <w:sz w:val="24"/>
        </w:rPr>
        <w:t xml:space="preserve">The decision shall include: </w:t>
      </w:r>
    </w:p>
    <w:p w14:paraId="6921C08A" w14:textId="77777777" w:rsidR="00646F0B" w:rsidRDefault="006030FE">
      <w:pPr>
        <w:spacing w:after="0"/>
      </w:pPr>
      <w:r>
        <w:rPr>
          <w:sz w:val="24"/>
        </w:rPr>
        <w:t xml:space="preserve"> </w:t>
      </w:r>
    </w:p>
    <w:p w14:paraId="4EE45904" w14:textId="2CE20AEB" w:rsidR="00646F0B" w:rsidRDefault="006030FE">
      <w:pPr>
        <w:numPr>
          <w:ilvl w:val="0"/>
          <w:numId w:val="3"/>
        </w:numPr>
        <w:spacing w:after="0"/>
        <w:ind w:hanging="360"/>
      </w:pPr>
      <w:r>
        <w:rPr>
          <w:sz w:val="24"/>
        </w:rPr>
        <w:t xml:space="preserve">The findings of fact based on evidence gathered.  </w:t>
      </w:r>
    </w:p>
    <w:p w14:paraId="2937DFBF" w14:textId="77777777" w:rsidR="00646F0B" w:rsidRDefault="006030FE">
      <w:pPr>
        <w:spacing w:after="0"/>
        <w:ind w:left="1440"/>
      </w:pPr>
      <w:r>
        <w:rPr>
          <w:sz w:val="24"/>
        </w:rPr>
        <w:t xml:space="preserve"> </w:t>
      </w:r>
    </w:p>
    <w:p w14:paraId="5F8F6E70" w14:textId="37A77E20" w:rsidR="00646F0B" w:rsidRDefault="006030FE">
      <w:pPr>
        <w:numPr>
          <w:ilvl w:val="0"/>
          <w:numId w:val="3"/>
        </w:numPr>
        <w:spacing w:after="0"/>
        <w:ind w:hanging="360"/>
      </w:pPr>
      <w:r>
        <w:rPr>
          <w:sz w:val="24"/>
        </w:rPr>
        <w:t xml:space="preserve"> </w:t>
      </w:r>
      <w:r w:rsidR="00260BAA">
        <w:rPr>
          <w:sz w:val="24"/>
        </w:rPr>
        <w:t>T</w:t>
      </w:r>
      <w:r>
        <w:rPr>
          <w:sz w:val="24"/>
        </w:rPr>
        <w:t xml:space="preserve">he conclusion(s) of law.  </w:t>
      </w:r>
    </w:p>
    <w:p w14:paraId="1C8CA68A" w14:textId="77777777" w:rsidR="00646F0B" w:rsidRDefault="006030FE">
      <w:pPr>
        <w:spacing w:after="0"/>
        <w:ind w:left="1440"/>
      </w:pPr>
      <w:r>
        <w:rPr>
          <w:sz w:val="24"/>
        </w:rPr>
        <w:t xml:space="preserve"> </w:t>
      </w:r>
    </w:p>
    <w:p w14:paraId="5ADDCC88" w14:textId="2DF0A9B6" w:rsidR="00646F0B" w:rsidRDefault="006030FE">
      <w:pPr>
        <w:numPr>
          <w:ilvl w:val="0"/>
          <w:numId w:val="3"/>
        </w:numPr>
        <w:spacing w:after="0"/>
        <w:ind w:hanging="360"/>
      </w:pPr>
      <w:r>
        <w:rPr>
          <w:sz w:val="24"/>
        </w:rPr>
        <w:t xml:space="preserve">Disposition of the complaint.  </w:t>
      </w:r>
    </w:p>
    <w:p w14:paraId="09FC536D" w14:textId="77777777" w:rsidR="00646F0B" w:rsidRDefault="006030FE">
      <w:pPr>
        <w:spacing w:after="0"/>
        <w:ind w:left="1440"/>
      </w:pPr>
      <w:r>
        <w:rPr>
          <w:sz w:val="24"/>
        </w:rPr>
        <w:t xml:space="preserve"> </w:t>
      </w:r>
    </w:p>
    <w:p w14:paraId="30194428" w14:textId="04AB78F9" w:rsidR="00646F0B" w:rsidRDefault="006030FE">
      <w:pPr>
        <w:numPr>
          <w:ilvl w:val="0"/>
          <w:numId w:val="3"/>
        </w:numPr>
        <w:spacing w:after="0"/>
        <w:ind w:hanging="360"/>
      </w:pPr>
      <w:r>
        <w:rPr>
          <w:sz w:val="24"/>
        </w:rPr>
        <w:t xml:space="preserve">Rationale for such disposition.  </w:t>
      </w:r>
    </w:p>
    <w:p w14:paraId="545877EA" w14:textId="77777777" w:rsidR="00646F0B" w:rsidRDefault="006030FE">
      <w:pPr>
        <w:spacing w:after="0"/>
        <w:ind w:left="1440"/>
      </w:pPr>
      <w:r>
        <w:rPr>
          <w:sz w:val="24"/>
        </w:rPr>
        <w:t xml:space="preserve"> </w:t>
      </w:r>
    </w:p>
    <w:p w14:paraId="60FD2D7D" w14:textId="414C915E" w:rsidR="00646F0B" w:rsidRDefault="006030FE">
      <w:pPr>
        <w:numPr>
          <w:ilvl w:val="0"/>
          <w:numId w:val="3"/>
        </w:numPr>
        <w:spacing w:after="0"/>
        <w:ind w:hanging="360"/>
      </w:pPr>
      <w:r>
        <w:rPr>
          <w:sz w:val="24"/>
        </w:rPr>
        <w:t xml:space="preserve">Corrective actions, if any are warranted.  </w:t>
      </w:r>
    </w:p>
    <w:p w14:paraId="6BC6FA4F" w14:textId="77777777" w:rsidR="00646F0B" w:rsidRDefault="006030FE">
      <w:pPr>
        <w:spacing w:after="0"/>
        <w:ind w:left="1440"/>
      </w:pPr>
      <w:r>
        <w:rPr>
          <w:sz w:val="24"/>
        </w:rPr>
        <w:t xml:space="preserve"> </w:t>
      </w:r>
    </w:p>
    <w:p w14:paraId="4B7DAA1A" w14:textId="493C38A4" w:rsidR="00646F0B" w:rsidRDefault="006030FE">
      <w:pPr>
        <w:numPr>
          <w:ilvl w:val="0"/>
          <w:numId w:val="3"/>
        </w:numPr>
        <w:spacing w:after="0" w:line="216" w:lineRule="auto"/>
        <w:ind w:hanging="360"/>
      </w:pPr>
      <w:r>
        <w:rPr>
          <w:sz w:val="24"/>
        </w:rPr>
        <w:t xml:space="preserve">Notice of the complainant’s right to appeal </w:t>
      </w:r>
      <w:r w:rsidR="006D03B5">
        <w:rPr>
          <w:sz w:val="24"/>
        </w:rPr>
        <w:t>SCCCS’</w:t>
      </w:r>
      <w:r>
        <w:rPr>
          <w:sz w:val="24"/>
        </w:rPr>
        <w:t xml:space="preserve"> decision within fifteen (15) days to the C D E and procedures to be followed for initiating such an appeal.  </w:t>
      </w:r>
    </w:p>
    <w:p w14:paraId="2EF37599" w14:textId="77777777" w:rsidR="00646F0B" w:rsidRDefault="006030FE">
      <w:pPr>
        <w:spacing w:after="0"/>
        <w:ind w:left="1440"/>
      </w:pPr>
      <w:r>
        <w:rPr>
          <w:sz w:val="24"/>
        </w:rPr>
        <w:t xml:space="preserve"> </w:t>
      </w:r>
    </w:p>
    <w:p w14:paraId="4CF3335E" w14:textId="29D3A681" w:rsidR="00646F0B" w:rsidRDefault="006030FE">
      <w:pPr>
        <w:numPr>
          <w:ilvl w:val="0"/>
          <w:numId w:val="3"/>
        </w:numPr>
        <w:spacing w:after="0" w:line="216" w:lineRule="auto"/>
        <w:ind w:hanging="360"/>
      </w:pPr>
      <w:r>
        <w:rPr>
          <w:sz w:val="24"/>
        </w:rPr>
        <w:t xml:space="preserve">For discrimination complaints arising under state law, notice that the complainant must wait until sixty (60) days have elapsed from the filing of an appeal with the CDE before pursuing civil law remedies. </w:t>
      </w:r>
    </w:p>
    <w:p w14:paraId="29066D40" w14:textId="77777777" w:rsidR="00646F0B" w:rsidRDefault="006030FE">
      <w:pPr>
        <w:spacing w:after="0"/>
        <w:ind w:left="1440"/>
      </w:pPr>
      <w:r>
        <w:rPr>
          <w:sz w:val="24"/>
        </w:rPr>
        <w:lastRenderedPageBreak/>
        <w:t xml:space="preserve"> </w:t>
      </w:r>
    </w:p>
    <w:p w14:paraId="7699EA64" w14:textId="69BCA833" w:rsidR="00646F0B" w:rsidRDefault="006030FE">
      <w:pPr>
        <w:numPr>
          <w:ilvl w:val="0"/>
          <w:numId w:val="3"/>
        </w:numPr>
        <w:spacing w:after="0" w:line="216" w:lineRule="auto"/>
        <w:ind w:hanging="360"/>
      </w:pPr>
      <w:r>
        <w:rPr>
          <w:sz w:val="24"/>
        </w:rPr>
        <w:t xml:space="preserve">For discrimination complaints arising under federal law such complaint may be made at any time to the U.S. Department of Education, Office for Civil Rights.  </w:t>
      </w:r>
    </w:p>
    <w:p w14:paraId="09C1FCBC" w14:textId="77777777" w:rsidR="00646F0B" w:rsidRDefault="006030FE">
      <w:pPr>
        <w:spacing w:after="0"/>
      </w:pPr>
      <w:r>
        <w:rPr>
          <w:sz w:val="24"/>
        </w:rPr>
        <w:t xml:space="preserve"> </w:t>
      </w:r>
    </w:p>
    <w:p w14:paraId="72097C41" w14:textId="08D4D63B" w:rsidR="00646F0B" w:rsidRDefault="006030FE">
      <w:pPr>
        <w:spacing w:after="0" w:line="216" w:lineRule="auto"/>
        <w:ind w:left="720" w:right="10"/>
        <w:jc w:val="both"/>
      </w:pPr>
      <w:r>
        <w:rPr>
          <w:sz w:val="24"/>
        </w:rPr>
        <w:t xml:space="preserve">If an employee is disciplined as a result of the complaint, the decision shall simply state that effective action was </w:t>
      </w:r>
      <w:r w:rsidR="006D03B5">
        <w:rPr>
          <w:sz w:val="24"/>
        </w:rPr>
        <w:t>taken,</w:t>
      </w:r>
      <w:r>
        <w:rPr>
          <w:sz w:val="24"/>
        </w:rPr>
        <w:t xml:space="preserve"> and that the employee was informed of </w:t>
      </w:r>
      <w:r w:rsidR="006D03B5">
        <w:rPr>
          <w:sz w:val="24"/>
        </w:rPr>
        <w:t>SCCCS’</w:t>
      </w:r>
      <w:r>
        <w:rPr>
          <w:sz w:val="24"/>
        </w:rPr>
        <w:t xml:space="preserve"> expectations.  The report shall not give any further information as to the nature of the disciplinary action. </w:t>
      </w:r>
    </w:p>
    <w:p w14:paraId="70F0C026" w14:textId="77777777" w:rsidR="00646F0B" w:rsidRDefault="006030FE">
      <w:pPr>
        <w:spacing w:after="0"/>
      </w:pPr>
      <w:r>
        <w:rPr>
          <w:sz w:val="24"/>
        </w:rPr>
        <w:t xml:space="preserve"> </w:t>
      </w:r>
    </w:p>
    <w:p w14:paraId="5F08596E" w14:textId="60CC767A" w:rsidR="00646F0B" w:rsidRDefault="006030FE">
      <w:pPr>
        <w:pStyle w:val="Heading1"/>
        <w:numPr>
          <w:ilvl w:val="0"/>
          <w:numId w:val="0"/>
        </w:numPr>
      </w:pPr>
      <w:r>
        <w:t>Appeals to the California Department of Education</w:t>
      </w:r>
      <w:r>
        <w:rPr>
          <w:u w:val="none"/>
        </w:rPr>
        <w:t xml:space="preserve"> </w:t>
      </w:r>
    </w:p>
    <w:p w14:paraId="5E5BB2E4" w14:textId="77777777" w:rsidR="00646F0B" w:rsidRDefault="006030FE">
      <w:pPr>
        <w:spacing w:after="0"/>
      </w:pPr>
      <w:r>
        <w:rPr>
          <w:sz w:val="24"/>
        </w:rPr>
        <w:t xml:space="preserve"> </w:t>
      </w:r>
    </w:p>
    <w:p w14:paraId="7EEABE2C" w14:textId="181E2F10" w:rsidR="00646F0B" w:rsidRDefault="006030FE">
      <w:pPr>
        <w:spacing w:after="0" w:line="216" w:lineRule="auto"/>
        <w:jc w:val="both"/>
      </w:pPr>
      <w:r>
        <w:rPr>
          <w:sz w:val="24"/>
        </w:rPr>
        <w:t xml:space="preserve">If dissatisfied with </w:t>
      </w:r>
      <w:r w:rsidR="006D03B5">
        <w:rPr>
          <w:sz w:val="24"/>
        </w:rPr>
        <w:t>SCCCS’</w:t>
      </w:r>
      <w:r>
        <w:rPr>
          <w:sz w:val="24"/>
        </w:rPr>
        <w:t xml:space="preserve"> decision, the complainant may appeal in writing to the CDE within fifteen (15) days of receiving </w:t>
      </w:r>
      <w:r w:rsidR="006D03B5">
        <w:rPr>
          <w:sz w:val="24"/>
        </w:rPr>
        <w:t>SCCCS’</w:t>
      </w:r>
      <w:r>
        <w:rPr>
          <w:sz w:val="24"/>
        </w:rPr>
        <w:t xml:space="preserve"> decision. When appealing to the CDE, the complainant must specify the basis for the appeal of the decision and whether the facts are incorrect and/or the law has been misapplied.  The appeal shall be accompanied by a copy of the locally filed complaint and a copy of </w:t>
      </w:r>
      <w:r w:rsidR="006D03B5">
        <w:rPr>
          <w:sz w:val="24"/>
        </w:rPr>
        <w:t>SCCCS’</w:t>
      </w:r>
      <w:r>
        <w:rPr>
          <w:sz w:val="24"/>
        </w:rPr>
        <w:t xml:space="preserve"> decision.  </w:t>
      </w:r>
    </w:p>
    <w:p w14:paraId="0E8EAD07" w14:textId="77777777" w:rsidR="00646F0B" w:rsidRDefault="006030FE">
      <w:pPr>
        <w:spacing w:after="0"/>
      </w:pPr>
      <w:r>
        <w:rPr>
          <w:sz w:val="24"/>
        </w:rPr>
        <w:t xml:space="preserve"> </w:t>
      </w:r>
    </w:p>
    <w:p w14:paraId="12908F95" w14:textId="0930DBC1" w:rsidR="00646F0B" w:rsidRDefault="006030FE">
      <w:pPr>
        <w:spacing w:after="0" w:line="216" w:lineRule="auto"/>
      </w:pPr>
      <w:r>
        <w:rPr>
          <w:sz w:val="24"/>
        </w:rPr>
        <w:t xml:space="preserve">Upon notification by the CDE that the complainant has appealed </w:t>
      </w:r>
      <w:r w:rsidR="00260BAA">
        <w:rPr>
          <w:sz w:val="24"/>
        </w:rPr>
        <w:t>SCCCS’</w:t>
      </w:r>
      <w:r>
        <w:rPr>
          <w:sz w:val="24"/>
        </w:rPr>
        <w:t xml:space="preserve"> decision, the </w:t>
      </w:r>
      <w:r w:rsidR="00260BAA">
        <w:rPr>
          <w:sz w:val="24"/>
        </w:rPr>
        <w:t>Executive Director</w:t>
      </w:r>
      <w:r>
        <w:rPr>
          <w:sz w:val="24"/>
        </w:rPr>
        <w:t xml:space="preserve"> or designee shall forward the following documents to the CDE:  </w:t>
      </w:r>
    </w:p>
    <w:p w14:paraId="4EE0F6C8" w14:textId="77777777" w:rsidR="00646F0B" w:rsidRDefault="006030FE">
      <w:pPr>
        <w:spacing w:after="0"/>
      </w:pPr>
      <w:r>
        <w:rPr>
          <w:sz w:val="24"/>
        </w:rPr>
        <w:t xml:space="preserve"> </w:t>
      </w:r>
    </w:p>
    <w:p w14:paraId="27684494" w14:textId="77777777" w:rsidR="00646F0B" w:rsidRDefault="006030FE">
      <w:pPr>
        <w:numPr>
          <w:ilvl w:val="0"/>
          <w:numId w:val="4"/>
        </w:numPr>
        <w:spacing w:after="0"/>
        <w:ind w:hanging="360"/>
      </w:pPr>
      <w:r>
        <w:rPr>
          <w:sz w:val="24"/>
        </w:rPr>
        <w:t xml:space="preserve">A copy of the original complaint. </w:t>
      </w:r>
    </w:p>
    <w:p w14:paraId="661BA726" w14:textId="77777777" w:rsidR="00646F0B" w:rsidRDefault="006030FE">
      <w:pPr>
        <w:spacing w:after="0"/>
        <w:ind w:left="720"/>
      </w:pPr>
      <w:r>
        <w:rPr>
          <w:sz w:val="24"/>
        </w:rPr>
        <w:t xml:space="preserve"> </w:t>
      </w:r>
    </w:p>
    <w:p w14:paraId="4DE83E49" w14:textId="77777777" w:rsidR="00646F0B" w:rsidRDefault="006030FE">
      <w:pPr>
        <w:numPr>
          <w:ilvl w:val="0"/>
          <w:numId w:val="4"/>
        </w:numPr>
        <w:spacing w:after="0"/>
        <w:ind w:hanging="360"/>
      </w:pPr>
      <w:r>
        <w:rPr>
          <w:sz w:val="24"/>
        </w:rPr>
        <w:t xml:space="preserve">A copy of the decision. </w:t>
      </w:r>
    </w:p>
    <w:p w14:paraId="61AA5C6C" w14:textId="77777777" w:rsidR="00646F0B" w:rsidRDefault="006030FE">
      <w:pPr>
        <w:spacing w:after="0"/>
        <w:ind w:left="720"/>
      </w:pPr>
      <w:r>
        <w:rPr>
          <w:sz w:val="24"/>
        </w:rPr>
        <w:t xml:space="preserve"> </w:t>
      </w:r>
    </w:p>
    <w:p w14:paraId="5FA87645" w14:textId="772BB03A" w:rsidR="00646F0B" w:rsidRDefault="006030FE">
      <w:pPr>
        <w:numPr>
          <w:ilvl w:val="0"/>
          <w:numId w:val="4"/>
        </w:numPr>
        <w:spacing w:after="0" w:line="216" w:lineRule="auto"/>
        <w:ind w:hanging="360"/>
      </w:pPr>
      <w:r>
        <w:rPr>
          <w:sz w:val="24"/>
        </w:rPr>
        <w:t xml:space="preserve">A summary of the nature and extent of the investigation conducted by </w:t>
      </w:r>
      <w:r w:rsidR="00260BAA">
        <w:rPr>
          <w:sz w:val="24"/>
        </w:rPr>
        <w:t>SCCCS</w:t>
      </w:r>
      <w:r>
        <w:rPr>
          <w:sz w:val="24"/>
        </w:rPr>
        <w:t xml:space="preserve">, if not covered by the decision. </w:t>
      </w:r>
    </w:p>
    <w:p w14:paraId="5CCE2981" w14:textId="77777777" w:rsidR="00646F0B" w:rsidRDefault="006030FE">
      <w:pPr>
        <w:spacing w:after="0"/>
        <w:ind w:left="720"/>
      </w:pPr>
      <w:r>
        <w:rPr>
          <w:sz w:val="24"/>
        </w:rPr>
        <w:t xml:space="preserve"> </w:t>
      </w:r>
    </w:p>
    <w:p w14:paraId="6C1B1E0A" w14:textId="77777777" w:rsidR="00646F0B" w:rsidRDefault="006030FE">
      <w:pPr>
        <w:numPr>
          <w:ilvl w:val="0"/>
          <w:numId w:val="4"/>
        </w:numPr>
        <w:spacing w:after="0" w:line="216" w:lineRule="auto"/>
        <w:ind w:hanging="360"/>
      </w:pPr>
      <w:r>
        <w:rPr>
          <w:sz w:val="24"/>
        </w:rPr>
        <w:t xml:space="preserve">A copy of the investigation file, including but not limited to all notes, interviews, and documents submitted by all parties and gathered by the investigator. </w:t>
      </w:r>
    </w:p>
    <w:p w14:paraId="675C6037" w14:textId="77777777" w:rsidR="00646F0B" w:rsidRDefault="006030FE">
      <w:pPr>
        <w:spacing w:after="0"/>
        <w:ind w:left="720"/>
      </w:pPr>
      <w:r>
        <w:rPr>
          <w:sz w:val="24"/>
        </w:rPr>
        <w:t xml:space="preserve"> </w:t>
      </w:r>
    </w:p>
    <w:p w14:paraId="5DE3FE1D" w14:textId="77777777" w:rsidR="00646F0B" w:rsidRDefault="006030FE">
      <w:pPr>
        <w:numPr>
          <w:ilvl w:val="0"/>
          <w:numId w:val="4"/>
        </w:numPr>
        <w:spacing w:after="0"/>
        <w:ind w:hanging="360"/>
      </w:pPr>
      <w:r>
        <w:rPr>
          <w:sz w:val="24"/>
        </w:rPr>
        <w:t xml:space="preserve">A report of any action taken to resolve the complaint. </w:t>
      </w:r>
    </w:p>
    <w:p w14:paraId="0E987A1A" w14:textId="77777777" w:rsidR="00646F0B" w:rsidRDefault="006030FE">
      <w:pPr>
        <w:spacing w:after="0"/>
        <w:ind w:left="720"/>
      </w:pPr>
      <w:r>
        <w:rPr>
          <w:sz w:val="24"/>
        </w:rPr>
        <w:t xml:space="preserve"> </w:t>
      </w:r>
    </w:p>
    <w:p w14:paraId="0A90E993" w14:textId="06159547" w:rsidR="00646F0B" w:rsidRDefault="006030FE">
      <w:pPr>
        <w:numPr>
          <w:ilvl w:val="0"/>
          <w:numId w:val="4"/>
        </w:numPr>
        <w:spacing w:after="0"/>
        <w:ind w:hanging="360"/>
      </w:pPr>
      <w:r>
        <w:rPr>
          <w:sz w:val="24"/>
        </w:rPr>
        <w:t xml:space="preserve">A copy of </w:t>
      </w:r>
      <w:r w:rsidR="00260BAA">
        <w:rPr>
          <w:sz w:val="24"/>
        </w:rPr>
        <w:t>SCCCS’</w:t>
      </w:r>
      <w:r>
        <w:rPr>
          <w:sz w:val="24"/>
        </w:rPr>
        <w:t xml:space="preserve"> complaint procedures. </w:t>
      </w:r>
    </w:p>
    <w:p w14:paraId="745D73BB" w14:textId="77777777" w:rsidR="00646F0B" w:rsidRDefault="006030FE">
      <w:pPr>
        <w:spacing w:after="0"/>
        <w:ind w:left="720"/>
      </w:pPr>
      <w:r>
        <w:rPr>
          <w:sz w:val="24"/>
        </w:rPr>
        <w:t xml:space="preserve"> </w:t>
      </w:r>
    </w:p>
    <w:p w14:paraId="402DCA24" w14:textId="60F663EF" w:rsidR="00646F0B" w:rsidRDefault="006030FE">
      <w:pPr>
        <w:numPr>
          <w:ilvl w:val="0"/>
          <w:numId w:val="4"/>
        </w:numPr>
        <w:spacing w:after="0"/>
        <w:ind w:hanging="360"/>
      </w:pPr>
      <w:r>
        <w:rPr>
          <w:sz w:val="24"/>
        </w:rPr>
        <w:t xml:space="preserve">Other relevant information requested by the CDE. </w:t>
      </w:r>
    </w:p>
    <w:p w14:paraId="37B08EA3" w14:textId="77777777" w:rsidR="00646F0B" w:rsidRDefault="006030FE">
      <w:pPr>
        <w:spacing w:after="0"/>
      </w:pPr>
      <w:r>
        <w:rPr>
          <w:sz w:val="24"/>
        </w:rPr>
        <w:t xml:space="preserve"> </w:t>
      </w:r>
    </w:p>
    <w:p w14:paraId="0B5CC89A" w14:textId="18313CA6" w:rsidR="00646F0B" w:rsidRDefault="006030FE">
      <w:pPr>
        <w:spacing w:after="0" w:line="216" w:lineRule="auto"/>
        <w:ind w:right="12"/>
        <w:jc w:val="both"/>
        <w:rPr>
          <w:b/>
          <w:sz w:val="24"/>
        </w:rPr>
      </w:pPr>
      <w:r>
        <w:rPr>
          <w:sz w:val="24"/>
        </w:rPr>
        <w:t xml:space="preserve">The CDE may directly intervene in the complaint without waiting for action by </w:t>
      </w:r>
      <w:r w:rsidR="00260BAA">
        <w:rPr>
          <w:sz w:val="24"/>
        </w:rPr>
        <w:t>SCCCS</w:t>
      </w:r>
      <w:r>
        <w:rPr>
          <w:sz w:val="24"/>
        </w:rPr>
        <w:t xml:space="preserve"> when one of the conditions listed in Title 5, California Code of Regulations, Section 4650 exists, including cases in which </w:t>
      </w:r>
      <w:r w:rsidR="00260BAA">
        <w:rPr>
          <w:sz w:val="24"/>
        </w:rPr>
        <w:t>SCCCS</w:t>
      </w:r>
      <w:r>
        <w:rPr>
          <w:sz w:val="24"/>
        </w:rPr>
        <w:t xml:space="preserve"> has not taken action within sixty (60) days of the date the complaint was filed with </w:t>
      </w:r>
      <w:r w:rsidR="009674DA">
        <w:rPr>
          <w:sz w:val="24"/>
        </w:rPr>
        <w:t>SCCCS</w:t>
      </w:r>
      <w:r>
        <w:rPr>
          <w:sz w:val="24"/>
        </w:rPr>
        <w:t>.</w:t>
      </w:r>
      <w:r>
        <w:rPr>
          <w:b/>
          <w:sz w:val="24"/>
        </w:rPr>
        <w:t xml:space="preserve"> </w:t>
      </w:r>
    </w:p>
    <w:p w14:paraId="4EAA1B61" w14:textId="6EE9475B" w:rsidR="00260BAA" w:rsidRDefault="00260BAA">
      <w:pPr>
        <w:spacing w:after="0" w:line="216" w:lineRule="auto"/>
        <w:ind w:right="12"/>
        <w:jc w:val="both"/>
        <w:rPr>
          <w:b/>
          <w:sz w:val="24"/>
        </w:rPr>
      </w:pPr>
    </w:p>
    <w:p w14:paraId="06635636" w14:textId="2BEF1BAD" w:rsidR="00260BAA" w:rsidRDefault="00260BAA">
      <w:pPr>
        <w:spacing w:after="0" w:line="216" w:lineRule="auto"/>
        <w:ind w:right="12"/>
        <w:jc w:val="both"/>
        <w:rPr>
          <w:b/>
          <w:sz w:val="24"/>
        </w:rPr>
      </w:pPr>
    </w:p>
    <w:p w14:paraId="0F058F52" w14:textId="6357FD9A" w:rsidR="00260BAA" w:rsidRDefault="00260BAA">
      <w:pPr>
        <w:spacing w:after="0" w:line="216" w:lineRule="auto"/>
        <w:ind w:right="12"/>
        <w:jc w:val="both"/>
        <w:rPr>
          <w:b/>
          <w:sz w:val="24"/>
        </w:rPr>
      </w:pPr>
    </w:p>
    <w:p w14:paraId="41A8DB5B" w14:textId="05F406CE" w:rsidR="00260BAA" w:rsidRDefault="00260BAA">
      <w:pPr>
        <w:spacing w:after="0" w:line="216" w:lineRule="auto"/>
        <w:ind w:right="12"/>
        <w:jc w:val="both"/>
        <w:rPr>
          <w:b/>
          <w:sz w:val="24"/>
        </w:rPr>
      </w:pPr>
    </w:p>
    <w:p w14:paraId="7DB5D104" w14:textId="432091E5" w:rsidR="00260BAA" w:rsidRDefault="00260BAA">
      <w:pPr>
        <w:spacing w:after="0" w:line="216" w:lineRule="auto"/>
        <w:ind w:right="12"/>
        <w:jc w:val="both"/>
        <w:rPr>
          <w:b/>
          <w:sz w:val="24"/>
        </w:rPr>
      </w:pPr>
    </w:p>
    <w:p w14:paraId="5389D961" w14:textId="77777777" w:rsidR="00260BAA" w:rsidRDefault="00260BAA">
      <w:pPr>
        <w:spacing w:after="0" w:line="216" w:lineRule="auto"/>
        <w:ind w:right="12"/>
        <w:jc w:val="both"/>
      </w:pPr>
    </w:p>
    <w:p w14:paraId="01887711" w14:textId="0F20DCBB" w:rsidR="00646F0B" w:rsidRPr="00260BAA" w:rsidRDefault="00260BAA">
      <w:pPr>
        <w:spacing w:after="73"/>
        <w:ind w:right="23"/>
        <w:jc w:val="center"/>
        <w:rPr>
          <w:sz w:val="28"/>
          <w:szCs w:val="28"/>
        </w:rPr>
      </w:pPr>
      <w:r w:rsidRPr="00260BAA">
        <w:rPr>
          <w:b/>
          <w:sz w:val="28"/>
          <w:szCs w:val="28"/>
          <w:u w:val="single" w:color="000000"/>
        </w:rPr>
        <w:lastRenderedPageBreak/>
        <w:t>Uniform Complaint Procedure Form</w:t>
      </w:r>
      <w:r w:rsidR="006030FE" w:rsidRPr="00260BAA">
        <w:rPr>
          <w:sz w:val="28"/>
          <w:szCs w:val="28"/>
        </w:rPr>
        <w:t xml:space="preserve"> </w:t>
      </w:r>
    </w:p>
    <w:p w14:paraId="6B4C86B6" w14:textId="77777777" w:rsidR="00646F0B" w:rsidRDefault="006030FE">
      <w:pPr>
        <w:spacing w:after="24"/>
        <w:ind w:left="35"/>
        <w:jc w:val="center"/>
      </w:pPr>
      <w:r>
        <w:rPr>
          <w:sz w:val="24"/>
        </w:rPr>
        <w:t xml:space="preserve"> </w:t>
      </w:r>
    </w:p>
    <w:p w14:paraId="71D8F584" w14:textId="63D35C3B" w:rsidR="00646F0B" w:rsidRDefault="006030FE">
      <w:pPr>
        <w:spacing w:after="0"/>
      </w:pPr>
      <w:r>
        <w:rPr>
          <w:sz w:val="20"/>
        </w:rPr>
        <w:t>Last Name_____________________________</w:t>
      </w:r>
      <w:r w:rsidR="00260BAA">
        <w:rPr>
          <w:sz w:val="20"/>
        </w:rPr>
        <w:t>____</w:t>
      </w:r>
      <w:r>
        <w:rPr>
          <w:sz w:val="20"/>
        </w:rPr>
        <w:t xml:space="preserve">  First Name/MI______________________________</w:t>
      </w:r>
      <w:r w:rsidR="00260BAA">
        <w:rPr>
          <w:sz w:val="20"/>
        </w:rPr>
        <w:t>_______________</w:t>
      </w:r>
    </w:p>
    <w:p w14:paraId="2B4FC902" w14:textId="77777777" w:rsidR="00646F0B" w:rsidRDefault="006030FE">
      <w:pPr>
        <w:spacing w:after="0"/>
      </w:pPr>
      <w:r>
        <w:rPr>
          <w:sz w:val="20"/>
        </w:rPr>
        <w:t xml:space="preserve"> </w:t>
      </w:r>
    </w:p>
    <w:p w14:paraId="2EDF158A" w14:textId="32F2DE60" w:rsidR="00646F0B" w:rsidRDefault="006030FE">
      <w:pPr>
        <w:spacing w:after="0"/>
      </w:pPr>
      <w:r>
        <w:rPr>
          <w:sz w:val="20"/>
        </w:rPr>
        <w:t>Student Name (if applicable): ___________________________________</w:t>
      </w:r>
      <w:r w:rsidR="00260BAA">
        <w:rPr>
          <w:sz w:val="20"/>
        </w:rPr>
        <w:t>____</w:t>
      </w:r>
      <w:r>
        <w:rPr>
          <w:sz w:val="20"/>
        </w:rPr>
        <w:t xml:space="preserve"> Grade: _______</w:t>
      </w:r>
      <w:r w:rsidR="00260BAA">
        <w:rPr>
          <w:sz w:val="20"/>
        </w:rPr>
        <w:t>_______________________</w:t>
      </w:r>
      <w:r>
        <w:rPr>
          <w:sz w:val="20"/>
        </w:rPr>
        <w:t xml:space="preserve">  </w:t>
      </w:r>
    </w:p>
    <w:p w14:paraId="3F4A115F" w14:textId="77777777" w:rsidR="00646F0B" w:rsidRDefault="006030FE">
      <w:pPr>
        <w:spacing w:after="0"/>
      </w:pPr>
      <w:r>
        <w:rPr>
          <w:sz w:val="20"/>
        </w:rPr>
        <w:t xml:space="preserve"> </w:t>
      </w:r>
    </w:p>
    <w:p w14:paraId="178932DF" w14:textId="7A9763CD" w:rsidR="00646F0B" w:rsidRDefault="006030FE">
      <w:pPr>
        <w:spacing w:after="0"/>
      </w:pPr>
      <w:r>
        <w:rPr>
          <w:sz w:val="20"/>
        </w:rPr>
        <w:t>Date of Birth: ____________</w:t>
      </w:r>
      <w:r w:rsidR="00260BAA">
        <w:rPr>
          <w:sz w:val="20"/>
        </w:rPr>
        <w:t>______________________________</w:t>
      </w:r>
      <w:r>
        <w:rPr>
          <w:sz w:val="20"/>
        </w:rPr>
        <w:t xml:space="preserve"> </w:t>
      </w:r>
    </w:p>
    <w:p w14:paraId="057141D3" w14:textId="77777777" w:rsidR="00646F0B" w:rsidRDefault="006030FE">
      <w:pPr>
        <w:spacing w:after="0"/>
      </w:pPr>
      <w:r>
        <w:rPr>
          <w:sz w:val="20"/>
        </w:rPr>
        <w:t xml:space="preserve"> </w:t>
      </w:r>
    </w:p>
    <w:p w14:paraId="64F6E097" w14:textId="7A7F73FB" w:rsidR="00646F0B" w:rsidRDefault="006030FE">
      <w:pPr>
        <w:spacing w:after="0"/>
      </w:pPr>
      <w:r>
        <w:rPr>
          <w:sz w:val="20"/>
        </w:rPr>
        <w:t>Street Address/Apt. #: _______________________________________________________________</w:t>
      </w:r>
      <w:r w:rsidR="00260BAA">
        <w:rPr>
          <w:sz w:val="20"/>
        </w:rPr>
        <w:t>__________________</w:t>
      </w:r>
      <w:r>
        <w:rPr>
          <w:sz w:val="20"/>
        </w:rPr>
        <w:t xml:space="preserve"> </w:t>
      </w:r>
    </w:p>
    <w:p w14:paraId="6E12EFBF" w14:textId="77777777" w:rsidR="00646F0B" w:rsidRDefault="006030FE">
      <w:pPr>
        <w:spacing w:after="0"/>
      </w:pPr>
      <w:r>
        <w:rPr>
          <w:sz w:val="20"/>
        </w:rPr>
        <w:t xml:space="preserve"> </w:t>
      </w:r>
    </w:p>
    <w:p w14:paraId="67846BFE" w14:textId="525FBDD0" w:rsidR="00646F0B" w:rsidRDefault="006030FE">
      <w:pPr>
        <w:spacing w:after="0"/>
      </w:pPr>
      <w:r>
        <w:rPr>
          <w:sz w:val="20"/>
        </w:rPr>
        <w:t>City___________________________________ State_________________ Z</w:t>
      </w:r>
      <w:r w:rsidR="00260BAA">
        <w:rPr>
          <w:sz w:val="20"/>
        </w:rPr>
        <w:t>i</w:t>
      </w:r>
      <w:r>
        <w:rPr>
          <w:sz w:val="20"/>
        </w:rPr>
        <w:t>p C ode_______________</w:t>
      </w:r>
      <w:r w:rsidR="00260BAA">
        <w:rPr>
          <w:sz w:val="20"/>
        </w:rPr>
        <w:t>_________________</w:t>
      </w:r>
      <w:r>
        <w:rPr>
          <w:sz w:val="20"/>
        </w:rPr>
        <w:t xml:space="preserve"> </w:t>
      </w:r>
    </w:p>
    <w:p w14:paraId="5E2FE7FB" w14:textId="77777777" w:rsidR="00646F0B" w:rsidRDefault="006030FE">
      <w:pPr>
        <w:spacing w:after="0"/>
      </w:pPr>
      <w:r>
        <w:rPr>
          <w:sz w:val="20"/>
        </w:rPr>
        <w:t xml:space="preserve"> </w:t>
      </w:r>
    </w:p>
    <w:p w14:paraId="6EE379EC" w14:textId="63AE5C33" w:rsidR="00646F0B" w:rsidRDefault="006030FE">
      <w:pPr>
        <w:spacing w:after="77"/>
      </w:pPr>
      <w:r>
        <w:rPr>
          <w:sz w:val="20"/>
        </w:rPr>
        <w:t>Home Phone__________________ C</w:t>
      </w:r>
      <w:r w:rsidR="00260BAA">
        <w:rPr>
          <w:sz w:val="20"/>
        </w:rPr>
        <w:t>e</w:t>
      </w:r>
      <w:r>
        <w:rPr>
          <w:sz w:val="20"/>
        </w:rPr>
        <w:t>ll Phone__________________</w:t>
      </w:r>
      <w:r w:rsidR="00260BAA">
        <w:rPr>
          <w:sz w:val="20"/>
        </w:rPr>
        <w:t>_____</w:t>
      </w:r>
      <w:r>
        <w:rPr>
          <w:sz w:val="20"/>
        </w:rPr>
        <w:t xml:space="preserve"> Work Phone_________________</w:t>
      </w:r>
      <w:r w:rsidR="00260BAA">
        <w:rPr>
          <w:sz w:val="20"/>
        </w:rPr>
        <w:t>____________</w:t>
      </w:r>
      <w:r>
        <w:rPr>
          <w:sz w:val="20"/>
        </w:rPr>
        <w:t xml:space="preserve"> </w:t>
      </w:r>
    </w:p>
    <w:p w14:paraId="27C94899" w14:textId="77777777" w:rsidR="00646F0B" w:rsidRDefault="006030FE">
      <w:pPr>
        <w:spacing w:after="77"/>
      </w:pPr>
      <w:r>
        <w:rPr>
          <w:sz w:val="20"/>
        </w:rPr>
        <w:t xml:space="preserve"> </w:t>
      </w:r>
    </w:p>
    <w:p w14:paraId="6FF2E4C7" w14:textId="5A8A411D" w:rsidR="00646F0B" w:rsidRDefault="006030FE">
      <w:pPr>
        <w:spacing w:after="72"/>
      </w:pPr>
      <w:r>
        <w:rPr>
          <w:sz w:val="20"/>
        </w:rPr>
        <w:t>School/Office of Alleged Violation_____________________________________________________</w:t>
      </w:r>
      <w:r w:rsidR="00260BAA">
        <w:rPr>
          <w:sz w:val="20"/>
        </w:rPr>
        <w:t>____________________</w:t>
      </w:r>
      <w:r>
        <w:rPr>
          <w:sz w:val="20"/>
        </w:rPr>
        <w:t xml:space="preserve"> </w:t>
      </w:r>
    </w:p>
    <w:p w14:paraId="543FA645" w14:textId="77777777" w:rsidR="00646F0B" w:rsidRDefault="006030FE">
      <w:pPr>
        <w:spacing w:after="77"/>
      </w:pPr>
      <w:r>
        <w:rPr>
          <w:sz w:val="20"/>
        </w:rPr>
        <w:t xml:space="preserve"> </w:t>
      </w:r>
    </w:p>
    <w:p w14:paraId="28DA8833" w14:textId="77777777" w:rsidR="00646F0B" w:rsidRDefault="006030FE">
      <w:pPr>
        <w:spacing w:after="202"/>
      </w:pPr>
      <w:r>
        <w:rPr>
          <w:b/>
          <w:sz w:val="20"/>
        </w:rPr>
        <w:t>For allegation(s) of noncompliance, please check the program or activity referred to in your complaint, if applicable:</w:t>
      </w:r>
      <w:r>
        <w:rPr>
          <w:sz w:val="20"/>
        </w:rPr>
        <w:t xml:space="preserve"> </w:t>
      </w:r>
    </w:p>
    <w:p w14:paraId="2AAD93DC" w14:textId="628F9041" w:rsidR="00646F0B" w:rsidRDefault="006030FE" w:rsidP="00570D38">
      <w:pPr>
        <w:tabs>
          <w:tab w:val="center" w:pos="4365"/>
          <w:tab w:val="center" w:pos="7254"/>
        </w:tabs>
        <w:spacing w:after="35"/>
      </w:pPr>
      <w:r>
        <w:rPr>
          <w:sz w:val="20"/>
        </w:rPr>
        <w:t xml:space="preserve">  </w:t>
      </w:r>
      <w:r w:rsidR="00260BAA">
        <w:rPr>
          <w:sz w:val="20"/>
        </w:rPr>
        <w:t>General Education</w:t>
      </w:r>
      <w:r w:rsidR="00570D38">
        <w:rPr>
          <w:sz w:val="20"/>
        </w:rPr>
        <w:t xml:space="preserve">                       </w:t>
      </w:r>
      <w:r w:rsidR="00260BAA">
        <w:rPr>
          <w:sz w:val="20"/>
        </w:rPr>
        <w:t>Specialty Programs</w:t>
      </w:r>
      <w:r>
        <w:rPr>
          <w:sz w:val="20"/>
        </w:rPr>
        <w:t xml:space="preserve"> </w:t>
      </w:r>
      <w:r>
        <w:rPr>
          <w:sz w:val="20"/>
        </w:rPr>
        <w:tab/>
        <w:t xml:space="preserve">  </w:t>
      </w:r>
      <w:r w:rsidR="00570D38">
        <w:rPr>
          <w:sz w:val="20"/>
        </w:rPr>
        <w:t xml:space="preserve">                           </w:t>
      </w:r>
      <w:r>
        <w:rPr>
          <w:sz w:val="20"/>
        </w:rPr>
        <w:t xml:space="preserve">Nutrition Services </w:t>
      </w:r>
      <w:r>
        <w:rPr>
          <w:sz w:val="20"/>
        </w:rPr>
        <w:tab/>
      </w:r>
      <w:r w:rsidR="00570D38">
        <w:rPr>
          <w:sz w:val="20"/>
        </w:rPr>
        <w:t xml:space="preserve">                                  </w:t>
      </w:r>
      <w:r>
        <w:rPr>
          <w:rFonts w:ascii="Times New Roman" w:eastAsia="Times New Roman" w:hAnsi="Times New Roman" w:cs="Times New Roman"/>
          <w:sz w:val="24"/>
        </w:rPr>
        <w:t xml:space="preserve"> </w:t>
      </w:r>
      <w:r>
        <w:rPr>
          <w:sz w:val="20"/>
        </w:rPr>
        <w:t>Special Education</w:t>
      </w:r>
    </w:p>
    <w:p w14:paraId="600E3A2F" w14:textId="77777777" w:rsidR="00646F0B" w:rsidRDefault="006030FE">
      <w:pPr>
        <w:spacing w:after="77"/>
      </w:pPr>
      <w:r>
        <w:rPr>
          <w:b/>
          <w:sz w:val="20"/>
        </w:rPr>
        <w:t xml:space="preserve"> </w:t>
      </w:r>
    </w:p>
    <w:p w14:paraId="1CDB000F" w14:textId="77777777" w:rsidR="00646F0B" w:rsidRDefault="006030FE">
      <w:pPr>
        <w:spacing w:after="0"/>
      </w:pPr>
      <w:r>
        <w:rPr>
          <w:b/>
          <w:sz w:val="20"/>
        </w:rPr>
        <w:t>For allegation(s) of unlawful discrimination/harassment, please check the basis of the unlawful discrimination/harassment described in your complaint, if applicable:</w:t>
      </w:r>
      <w:r>
        <w:rPr>
          <w:sz w:val="20"/>
        </w:rPr>
        <w:t xml:space="preserve"> </w:t>
      </w:r>
    </w:p>
    <w:tbl>
      <w:tblPr>
        <w:tblStyle w:val="TableGrid"/>
        <w:tblW w:w="9631" w:type="dxa"/>
        <w:tblInd w:w="360" w:type="dxa"/>
        <w:tblCellMar>
          <w:top w:w="23" w:type="dxa"/>
        </w:tblCellMar>
        <w:tblLook w:val="04A0" w:firstRow="1" w:lastRow="0" w:firstColumn="1" w:lastColumn="0" w:noHBand="0" w:noVBand="1"/>
      </w:tblPr>
      <w:tblGrid>
        <w:gridCol w:w="3274"/>
        <w:gridCol w:w="3476"/>
        <w:gridCol w:w="2881"/>
      </w:tblGrid>
      <w:tr w:rsidR="00646F0B" w14:paraId="068751CB" w14:textId="77777777">
        <w:trPr>
          <w:trHeight w:val="1920"/>
        </w:trPr>
        <w:tc>
          <w:tcPr>
            <w:tcW w:w="3274" w:type="dxa"/>
            <w:tcBorders>
              <w:top w:val="nil"/>
              <w:left w:val="nil"/>
              <w:bottom w:val="nil"/>
              <w:right w:val="nil"/>
            </w:tcBorders>
          </w:tcPr>
          <w:p w14:paraId="189DF0E8" w14:textId="77777777" w:rsidR="00646F0B" w:rsidRDefault="006030FE">
            <w:pPr>
              <w:spacing w:after="138"/>
            </w:pPr>
            <w:r>
              <w:rPr>
                <w:rFonts w:ascii="Webdings" w:eastAsia="Webdings" w:hAnsi="Webdings" w:cs="Webdings"/>
                <w:sz w:val="20"/>
              </w:rPr>
              <w:t></w:t>
            </w:r>
            <w:r>
              <w:rPr>
                <w:rFonts w:ascii="Arial" w:eastAsia="Arial" w:hAnsi="Arial" w:cs="Arial"/>
                <w:sz w:val="20"/>
              </w:rPr>
              <w:t xml:space="preserve"> </w:t>
            </w:r>
            <w:r>
              <w:rPr>
                <w:sz w:val="20"/>
              </w:rPr>
              <w:t xml:space="preserve">Age </w:t>
            </w:r>
          </w:p>
          <w:p w14:paraId="7E2FA342" w14:textId="77777777" w:rsidR="00646F0B" w:rsidRDefault="006030FE">
            <w:pPr>
              <w:spacing w:after="131"/>
            </w:pPr>
            <w:r>
              <w:rPr>
                <w:rFonts w:ascii="Webdings" w:eastAsia="Webdings" w:hAnsi="Webdings" w:cs="Webdings"/>
                <w:sz w:val="20"/>
              </w:rPr>
              <w:t></w:t>
            </w:r>
            <w:r>
              <w:rPr>
                <w:rFonts w:ascii="Arial" w:eastAsia="Arial" w:hAnsi="Arial" w:cs="Arial"/>
                <w:sz w:val="20"/>
              </w:rPr>
              <w:t xml:space="preserve"> </w:t>
            </w:r>
            <w:r>
              <w:rPr>
                <w:sz w:val="20"/>
              </w:rPr>
              <w:t xml:space="preserve">Ancestry </w:t>
            </w:r>
          </w:p>
          <w:p w14:paraId="049716E9" w14:textId="7DB7C462" w:rsidR="00646F0B" w:rsidRDefault="006030FE">
            <w:pPr>
              <w:spacing w:after="150"/>
            </w:pPr>
            <w:r>
              <w:rPr>
                <w:rFonts w:ascii="Webdings" w:eastAsia="Webdings" w:hAnsi="Webdings" w:cs="Webdings"/>
                <w:sz w:val="20"/>
              </w:rPr>
              <w:t></w:t>
            </w:r>
            <w:r>
              <w:rPr>
                <w:rFonts w:ascii="Arial" w:eastAsia="Arial" w:hAnsi="Arial" w:cs="Arial"/>
                <w:sz w:val="20"/>
              </w:rPr>
              <w:t xml:space="preserve"> </w:t>
            </w:r>
            <w:r>
              <w:rPr>
                <w:sz w:val="20"/>
              </w:rPr>
              <w:t xml:space="preserve">Color </w:t>
            </w:r>
          </w:p>
          <w:p w14:paraId="3356ACE8" w14:textId="0DF5E7EE" w:rsidR="00646F0B" w:rsidRDefault="006030FE">
            <w:pPr>
              <w:spacing w:after="143"/>
            </w:pPr>
            <w:r>
              <w:rPr>
                <w:rFonts w:ascii="Webdings" w:eastAsia="Webdings" w:hAnsi="Webdings" w:cs="Webdings"/>
                <w:sz w:val="20"/>
              </w:rPr>
              <w:t></w:t>
            </w:r>
            <w:r>
              <w:rPr>
                <w:rFonts w:ascii="Arial" w:eastAsia="Arial" w:hAnsi="Arial" w:cs="Arial"/>
                <w:sz w:val="20"/>
              </w:rPr>
              <w:t xml:space="preserve"> </w:t>
            </w:r>
            <w:r>
              <w:rPr>
                <w:sz w:val="20"/>
              </w:rPr>
              <w:t xml:space="preserve">Disability </w:t>
            </w:r>
            <w:r>
              <w:rPr>
                <w:sz w:val="16"/>
              </w:rPr>
              <w:t>(Mental or Physical)</w:t>
            </w:r>
            <w:r>
              <w:rPr>
                <w:sz w:val="20"/>
              </w:rPr>
              <w:t xml:space="preserve"> </w:t>
            </w:r>
          </w:p>
          <w:p w14:paraId="1F3405F8" w14:textId="32AFAD8F" w:rsidR="00646F0B" w:rsidRDefault="006030FE">
            <w:r>
              <w:rPr>
                <w:rFonts w:ascii="Webdings" w:eastAsia="Webdings" w:hAnsi="Webdings" w:cs="Webdings"/>
                <w:sz w:val="20"/>
              </w:rPr>
              <w:t></w:t>
            </w:r>
            <w:r>
              <w:rPr>
                <w:rFonts w:ascii="Arial" w:eastAsia="Arial" w:hAnsi="Arial" w:cs="Arial"/>
                <w:sz w:val="20"/>
              </w:rPr>
              <w:t xml:space="preserve"> </w:t>
            </w:r>
            <w:r>
              <w:rPr>
                <w:sz w:val="20"/>
              </w:rPr>
              <w:t>Ethnic G</w:t>
            </w:r>
            <w:r w:rsidR="00570D38">
              <w:rPr>
                <w:sz w:val="20"/>
              </w:rPr>
              <w:t>r</w:t>
            </w:r>
            <w:r>
              <w:rPr>
                <w:sz w:val="20"/>
              </w:rPr>
              <w:t xml:space="preserve">oup Identification </w:t>
            </w:r>
          </w:p>
        </w:tc>
        <w:tc>
          <w:tcPr>
            <w:tcW w:w="3476" w:type="dxa"/>
            <w:tcBorders>
              <w:top w:val="nil"/>
              <w:left w:val="nil"/>
              <w:bottom w:val="nil"/>
              <w:right w:val="nil"/>
            </w:tcBorders>
          </w:tcPr>
          <w:p w14:paraId="29D5ABB9" w14:textId="21CFC4BF" w:rsidR="00646F0B" w:rsidRDefault="006030FE">
            <w:pPr>
              <w:spacing w:after="141" w:line="250" w:lineRule="auto"/>
              <w:ind w:left="146" w:right="448"/>
              <w:jc w:val="both"/>
            </w:pPr>
            <w:r>
              <w:rPr>
                <w:rFonts w:ascii="Webdings" w:eastAsia="Webdings" w:hAnsi="Webdings" w:cs="Webdings"/>
                <w:sz w:val="20"/>
              </w:rPr>
              <w:t></w:t>
            </w:r>
            <w:r>
              <w:rPr>
                <w:rFonts w:ascii="Arial" w:eastAsia="Arial" w:hAnsi="Arial" w:cs="Arial"/>
                <w:sz w:val="20"/>
              </w:rPr>
              <w:t xml:space="preserve"> </w:t>
            </w:r>
            <w:r>
              <w:rPr>
                <w:sz w:val="20"/>
              </w:rPr>
              <w:t xml:space="preserve">Gender / Gender Expression / Gender Identity </w:t>
            </w:r>
          </w:p>
          <w:p w14:paraId="0529ADA1" w14:textId="4B8A0BE8" w:rsidR="00646F0B" w:rsidRDefault="006030FE">
            <w:pPr>
              <w:spacing w:after="130"/>
              <w:ind w:left="146"/>
            </w:pPr>
            <w:r>
              <w:rPr>
                <w:rFonts w:ascii="Webdings" w:eastAsia="Webdings" w:hAnsi="Webdings" w:cs="Webdings"/>
                <w:sz w:val="20"/>
              </w:rPr>
              <w:t></w:t>
            </w:r>
            <w:r>
              <w:rPr>
                <w:rFonts w:ascii="Arial" w:eastAsia="Arial" w:hAnsi="Arial" w:cs="Arial"/>
                <w:sz w:val="20"/>
              </w:rPr>
              <w:t xml:space="preserve"> </w:t>
            </w:r>
            <w:r>
              <w:rPr>
                <w:sz w:val="20"/>
              </w:rPr>
              <w:t xml:space="preserve">National Origin </w:t>
            </w:r>
          </w:p>
          <w:p w14:paraId="2AF6AFAA" w14:textId="77777777" w:rsidR="00646F0B" w:rsidRDefault="006030FE">
            <w:pPr>
              <w:spacing w:after="138"/>
              <w:ind w:left="146"/>
            </w:pPr>
            <w:r>
              <w:rPr>
                <w:rFonts w:ascii="Webdings" w:eastAsia="Webdings" w:hAnsi="Webdings" w:cs="Webdings"/>
                <w:sz w:val="20"/>
              </w:rPr>
              <w:t></w:t>
            </w:r>
            <w:r>
              <w:rPr>
                <w:rFonts w:ascii="Arial" w:eastAsia="Arial" w:hAnsi="Arial" w:cs="Arial"/>
                <w:sz w:val="20"/>
              </w:rPr>
              <w:t xml:space="preserve"> </w:t>
            </w:r>
            <w:r>
              <w:rPr>
                <w:sz w:val="20"/>
              </w:rPr>
              <w:t xml:space="preserve">Race </w:t>
            </w:r>
          </w:p>
          <w:p w14:paraId="54BDCCBF" w14:textId="09F7AD15" w:rsidR="00646F0B" w:rsidRDefault="006030FE">
            <w:pPr>
              <w:ind w:left="146"/>
            </w:pPr>
            <w:r>
              <w:rPr>
                <w:rFonts w:ascii="Webdings" w:eastAsia="Webdings" w:hAnsi="Webdings" w:cs="Webdings"/>
                <w:sz w:val="20"/>
              </w:rPr>
              <w:t></w:t>
            </w:r>
            <w:r>
              <w:rPr>
                <w:rFonts w:ascii="Arial" w:eastAsia="Arial" w:hAnsi="Arial" w:cs="Arial"/>
                <w:sz w:val="30"/>
                <w:vertAlign w:val="superscript"/>
              </w:rPr>
              <w:t xml:space="preserve"> </w:t>
            </w:r>
            <w:r>
              <w:rPr>
                <w:sz w:val="20"/>
              </w:rPr>
              <w:t xml:space="preserve">Religion </w:t>
            </w:r>
          </w:p>
        </w:tc>
        <w:tc>
          <w:tcPr>
            <w:tcW w:w="2881" w:type="dxa"/>
            <w:tcBorders>
              <w:top w:val="nil"/>
              <w:left w:val="nil"/>
              <w:bottom w:val="nil"/>
              <w:right w:val="nil"/>
            </w:tcBorders>
          </w:tcPr>
          <w:p w14:paraId="106499E0" w14:textId="77777777" w:rsidR="00646F0B" w:rsidRDefault="006030FE">
            <w:pPr>
              <w:tabs>
                <w:tab w:val="center" w:pos="2538"/>
              </w:tabs>
              <w:spacing w:after="153"/>
            </w:pPr>
            <w:r>
              <w:rPr>
                <w:rFonts w:ascii="Webdings" w:eastAsia="Webdings" w:hAnsi="Webdings" w:cs="Webdings"/>
                <w:sz w:val="20"/>
              </w:rPr>
              <w:t></w:t>
            </w:r>
            <w:r>
              <w:rPr>
                <w:rFonts w:ascii="Arial" w:eastAsia="Arial" w:hAnsi="Arial" w:cs="Arial"/>
                <w:sz w:val="20"/>
              </w:rPr>
              <w:t xml:space="preserve"> </w:t>
            </w:r>
            <w:r>
              <w:rPr>
                <w:sz w:val="20"/>
              </w:rPr>
              <w:t xml:space="preserve">Sex </w:t>
            </w:r>
            <w:r>
              <w:rPr>
                <w:sz w:val="16"/>
              </w:rPr>
              <w:t>(Actual or Perceived)</w:t>
            </w:r>
            <w:r>
              <w:rPr>
                <w:sz w:val="20"/>
              </w:rPr>
              <w:t xml:space="preserve"> </w:t>
            </w:r>
            <w:r>
              <w:rPr>
                <w:sz w:val="20"/>
              </w:rPr>
              <w:tab/>
              <w:t xml:space="preserve"> </w:t>
            </w:r>
          </w:p>
          <w:p w14:paraId="244D2EA3" w14:textId="29068273" w:rsidR="00646F0B" w:rsidRDefault="006030FE" w:rsidP="00570D38">
            <w:pPr>
              <w:jc w:val="both"/>
            </w:pPr>
            <w:r>
              <w:rPr>
                <w:rFonts w:ascii="Webdings" w:eastAsia="Webdings" w:hAnsi="Webdings" w:cs="Webdings"/>
                <w:sz w:val="20"/>
              </w:rPr>
              <w:t></w:t>
            </w:r>
            <w:r>
              <w:rPr>
                <w:rFonts w:ascii="Arial" w:eastAsia="Arial" w:hAnsi="Arial" w:cs="Arial"/>
                <w:sz w:val="20"/>
              </w:rPr>
              <w:t xml:space="preserve"> </w:t>
            </w:r>
            <w:r>
              <w:rPr>
                <w:sz w:val="20"/>
              </w:rPr>
              <w:t>Sexual Orientation</w:t>
            </w:r>
            <w:r w:rsidR="00570D38">
              <w:rPr>
                <w:sz w:val="20"/>
              </w:rPr>
              <w:t xml:space="preserve"> (Actual or Perceived)</w:t>
            </w:r>
          </w:p>
          <w:p w14:paraId="49B381CC" w14:textId="79C741FA" w:rsidR="00646F0B" w:rsidRDefault="006030FE" w:rsidP="00570D38">
            <w:pPr>
              <w:spacing w:after="58" w:line="249" w:lineRule="auto"/>
              <w:ind w:right="47"/>
              <w:jc w:val="both"/>
            </w:pPr>
            <w:r>
              <w:rPr>
                <w:rFonts w:ascii="Webdings" w:eastAsia="Webdings" w:hAnsi="Webdings" w:cs="Webdings"/>
                <w:sz w:val="24"/>
              </w:rPr>
              <w:t></w:t>
            </w:r>
            <w:r>
              <w:rPr>
                <w:rFonts w:ascii="Arial" w:eastAsia="Arial" w:hAnsi="Arial" w:cs="Arial"/>
                <w:sz w:val="24"/>
              </w:rPr>
              <w:t xml:space="preserve"> </w:t>
            </w:r>
            <w:r>
              <w:rPr>
                <w:sz w:val="20"/>
              </w:rPr>
              <w:t>Based on association with a person or group with one or more of these actual or perceived characteristics</w:t>
            </w:r>
            <w:r>
              <w:rPr>
                <w:rFonts w:ascii="Times New Roman" w:eastAsia="Times New Roman" w:hAnsi="Times New Roman" w:cs="Times New Roman"/>
                <w:sz w:val="24"/>
              </w:rPr>
              <w:t xml:space="preserve"> </w:t>
            </w:r>
          </w:p>
        </w:tc>
      </w:tr>
    </w:tbl>
    <w:p w14:paraId="489BE2C4" w14:textId="77777777" w:rsidR="00570D38" w:rsidRDefault="006030FE">
      <w:pPr>
        <w:spacing w:after="120" w:line="216" w:lineRule="auto"/>
        <w:ind w:left="360" w:hanging="360"/>
        <w:rPr>
          <w:sz w:val="20"/>
        </w:rPr>
      </w:pPr>
      <w:r>
        <w:rPr>
          <w:sz w:val="20"/>
        </w:rPr>
        <w:t>1.</w:t>
      </w:r>
      <w:r>
        <w:rPr>
          <w:rFonts w:ascii="Arial" w:eastAsia="Arial" w:hAnsi="Arial" w:cs="Arial"/>
          <w:sz w:val="20"/>
        </w:rPr>
        <w:t xml:space="preserve"> </w:t>
      </w:r>
      <w:r>
        <w:rPr>
          <w:sz w:val="20"/>
        </w:rPr>
        <w:t xml:space="preserve">Please give facts about the complaint.  Provide details such as the names of those involved, dates, whether </w:t>
      </w:r>
    </w:p>
    <w:p w14:paraId="105994B1" w14:textId="2A4F8B33" w:rsidR="00646F0B" w:rsidRDefault="006030FE">
      <w:pPr>
        <w:spacing w:after="120" w:line="216" w:lineRule="auto"/>
        <w:ind w:left="360" w:hanging="360"/>
      </w:pPr>
      <w:r>
        <w:rPr>
          <w:sz w:val="20"/>
        </w:rPr>
        <w:t xml:space="preserve">witnesses were present, etc., that may be helpful to the complaint investigator. </w:t>
      </w:r>
    </w:p>
    <w:p w14:paraId="57AA09C4" w14:textId="77777777" w:rsidR="00646F0B" w:rsidRDefault="006030FE">
      <w:pPr>
        <w:spacing w:after="72"/>
      </w:pPr>
      <w:r>
        <w:rPr>
          <w:sz w:val="20"/>
        </w:rPr>
        <w:t xml:space="preserve">____________________________________________________________________________________________ </w:t>
      </w:r>
    </w:p>
    <w:p w14:paraId="31457846" w14:textId="77777777" w:rsidR="00646F0B" w:rsidRDefault="006030FE">
      <w:pPr>
        <w:spacing w:after="77"/>
      </w:pPr>
      <w:r>
        <w:rPr>
          <w:sz w:val="20"/>
        </w:rPr>
        <w:t xml:space="preserve">_____________________________________________________________________________________________ </w:t>
      </w:r>
    </w:p>
    <w:p w14:paraId="5123E7A0" w14:textId="77777777" w:rsidR="00646F0B" w:rsidRDefault="006030FE">
      <w:pPr>
        <w:spacing w:after="77"/>
      </w:pPr>
      <w:r>
        <w:rPr>
          <w:sz w:val="20"/>
        </w:rPr>
        <w:t xml:space="preserve">_____________________________________________________________________________________________ </w:t>
      </w:r>
    </w:p>
    <w:p w14:paraId="6979C8ED" w14:textId="77777777" w:rsidR="00646F0B" w:rsidRDefault="006030FE">
      <w:pPr>
        <w:spacing w:after="72"/>
      </w:pPr>
      <w:r>
        <w:rPr>
          <w:sz w:val="20"/>
        </w:rPr>
        <w:t xml:space="preserve">_____________________________________________________________________________________________ </w:t>
      </w:r>
    </w:p>
    <w:p w14:paraId="001E2A35" w14:textId="77777777" w:rsidR="00646F0B" w:rsidRDefault="006030FE">
      <w:pPr>
        <w:spacing w:after="77"/>
      </w:pPr>
      <w:r>
        <w:rPr>
          <w:sz w:val="20"/>
        </w:rPr>
        <w:t xml:space="preserve">_____________________________________________________________________________________________ </w:t>
      </w:r>
    </w:p>
    <w:p w14:paraId="2045DB45" w14:textId="77777777" w:rsidR="00646F0B" w:rsidRDefault="006030FE">
      <w:pPr>
        <w:spacing w:after="77"/>
      </w:pPr>
      <w:r>
        <w:rPr>
          <w:sz w:val="20"/>
        </w:rPr>
        <w:t xml:space="preserve">_____________________________________________________________________________________________ </w:t>
      </w:r>
    </w:p>
    <w:p w14:paraId="32F99965" w14:textId="77777777" w:rsidR="00646F0B" w:rsidRDefault="006030FE">
      <w:pPr>
        <w:spacing w:after="72"/>
      </w:pPr>
      <w:r>
        <w:rPr>
          <w:sz w:val="20"/>
        </w:rPr>
        <w:t xml:space="preserve">_____________________________________________________________________________________________ </w:t>
      </w:r>
    </w:p>
    <w:p w14:paraId="2C7E89D0" w14:textId="77777777" w:rsidR="00646F0B" w:rsidRDefault="006030FE">
      <w:pPr>
        <w:spacing w:after="77"/>
      </w:pPr>
      <w:r>
        <w:rPr>
          <w:sz w:val="20"/>
        </w:rPr>
        <w:t xml:space="preserve">_____________________________________________________________________________________________ </w:t>
      </w:r>
    </w:p>
    <w:p w14:paraId="0D79CD67" w14:textId="77777777" w:rsidR="00646F0B" w:rsidRDefault="006030FE">
      <w:pPr>
        <w:spacing w:after="72"/>
      </w:pPr>
      <w:r>
        <w:rPr>
          <w:sz w:val="20"/>
        </w:rPr>
        <w:lastRenderedPageBreak/>
        <w:t xml:space="preserve">_____________________________________________________________________________________________ </w:t>
      </w:r>
    </w:p>
    <w:p w14:paraId="14C99DEB" w14:textId="77777777" w:rsidR="00646F0B" w:rsidRDefault="006030FE">
      <w:pPr>
        <w:spacing w:after="77"/>
      </w:pPr>
      <w:r>
        <w:rPr>
          <w:sz w:val="20"/>
        </w:rPr>
        <w:t xml:space="preserve">_____________________________________________________________________________________________ </w:t>
      </w:r>
    </w:p>
    <w:p w14:paraId="15BC0E60" w14:textId="77777777" w:rsidR="00646F0B" w:rsidRDefault="006030FE">
      <w:pPr>
        <w:spacing w:after="77"/>
      </w:pPr>
      <w:r>
        <w:rPr>
          <w:sz w:val="20"/>
        </w:rPr>
        <w:t xml:space="preserve">_____________________________________________________________________________________________ </w:t>
      </w:r>
    </w:p>
    <w:p w14:paraId="6A802FB8" w14:textId="77777777" w:rsidR="00646F0B" w:rsidRDefault="006030FE">
      <w:pPr>
        <w:spacing w:after="5" w:line="331" w:lineRule="auto"/>
      </w:pPr>
      <w:r>
        <w:rPr>
          <w:sz w:val="20"/>
        </w:rPr>
        <w:t xml:space="preserve">_____________________________________________________________________________________________ _____________________________________________________________________________________________ </w:t>
      </w:r>
    </w:p>
    <w:p w14:paraId="52B3A48C" w14:textId="77777777" w:rsidR="00646F0B" w:rsidRDefault="006030FE">
      <w:pPr>
        <w:spacing w:after="0"/>
      </w:pPr>
      <w:r>
        <w:rPr>
          <w:sz w:val="20"/>
        </w:rPr>
        <w:t xml:space="preserve"> </w:t>
      </w:r>
    </w:p>
    <w:p w14:paraId="197EA368" w14:textId="77777777" w:rsidR="00570D38" w:rsidRPr="00570D38" w:rsidRDefault="006030FE">
      <w:pPr>
        <w:numPr>
          <w:ilvl w:val="0"/>
          <w:numId w:val="5"/>
        </w:numPr>
        <w:spacing w:after="115" w:line="216" w:lineRule="auto"/>
        <w:ind w:hanging="360"/>
      </w:pPr>
      <w:r>
        <w:rPr>
          <w:sz w:val="20"/>
        </w:rPr>
        <w:t xml:space="preserve">Have you discussed your complaint or brought your complaint to any Charter School personnel?  If you have, to </w:t>
      </w:r>
    </w:p>
    <w:p w14:paraId="50BC6E9E" w14:textId="1C3E34DC" w:rsidR="00646F0B" w:rsidRDefault="006030FE" w:rsidP="00570D38">
      <w:pPr>
        <w:spacing w:after="115" w:line="216" w:lineRule="auto"/>
        <w:ind w:left="360"/>
      </w:pPr>
      <w:r>
        <w:rPr>
          <w:sz w:val="20"/>
        </w:rPr>
        <w:t xml:space="preserve">whom did you take the complaint, and what was the result? </w:t>
      </w:r>
    </w:p>
    <w:p w14:paraId="67EC827B" w14:textId="77777777" w:rsidR="00646F0B" w:rsidRDefault="006030FE">
      <w:pPr>
        <w:spacing w:after="77"/>
      </w:pPr>
      <w:r>
        <w:rPr>
          <w:sz w:val="20"/>
        </w:rPr>
        <w:t xml:space="preserve">_____________________________________________________________________________________________ </w:t>
      </w:r>
    </w:p>
    <w:p w14:paraId="775695C7" w14:textId="77777777" w:rsidR="00646F0B" w:rsidRDefault="006030FE">
      <w:pPr>
        <w:spacing w:after="72"/>
      </w:pPr>
      <w:r>
        <w:rPr>
          <w:sz w:val="20"/>
        </w:rPr>
        <w:t xml:space="preserve">____________________________________________________________________________________________ </w:t>
      </w:r>
    </w:p>
    <w:p w14:paraId="4FBCDF1D" w14:textId="77777777" w:rsidR="00646F0B" w:rsidRDefault="006030FE">
      <w:pPr>
        <w:spacing w:after="77"/>
      </w:pPr>
      <w:r>
        <w:rPr>
          <w:sz w:val="20"/>
        </w:rPr>
        <w:t xml:space="preserve">_____________________________________________________________________________________________ </w:t>
      </w:r>
    </w:p>
    <w:p w14:paraId="1BC84410" w14:textId="77777777" w:rsidR="00646F0B" w:rsidRDefault="006030FE">
      <w:pPr>
        <w:spacing w:after="77"/>
      </w:pPr>
      <w:r>
        <w:rPr>
          <w:sz w:val="20"/>
        </w:rPr>
        <w:t xml:space="preserve">_____________________________________________________________________________________________ </w:t>
      </w:r>
    </w:p>
    <w:p w14:paraId="6CE7DC32" w14:textId="77777777" w:rsidR="00646F0B" w:rsidRDefault="006030FE">
      <w:pPr>
        <w:spacing w:after="72"/>
      </w:pPr>
      <w:r>
        <w:rPr>
          <w:sz w:val="20"/>
        </w:rPr>
        <w:t xml:space="preserve">_____________________________________________________________________________________________ </w:t>
      </w:r>
    </w:p>
    <w:p w14:paraId="15F767D2" w14:textId="77777777" w:rsidR="00646F0B" w:rsidRDefault="006030FE">
      <w:pPr>
        <w:spacing w:after="0" w:line="336" w:lineRule="auto"/>
      </w:pPr>
      <w:r>
        <w:rPr>
          <w:sz w:val="20"/>
        </w:rPr>
        <w:t xml:space="preserve">_____________________________________________________________________________________________ _____________________________________________________________________________________________ </w:t>
      </w:r>
    </w:p>
    <w:p w14:paraId="4F56AE4B" w14:textId="77777777" w:rsidR="00646F0B" w:rsidRDefault="006030FE">
      <w:pPr>
        <w:spacing w:after="100"/>
      </w:pPr>
      <w:r>
        <w:rPr>
          <w:sz w:val="20"/>
        </w:rPr>
        <w:t xml:space="preserve"> </w:t>
      </w:r>
    </w:p>
    <w:p w14:paraId="4B694644" w14:textId="77777777" w:rsidR="00646F0B" w:rsidRDefault="006030FE">
      <w:pPr>
        <w:numPr>
          <w:ilvl w:val="0"/>
          <w:numId w:val="5"/>
        </w:numPr>
        <w:spacing w:after="87"/>
        <w:ind w:hanging="360"/>
      </w:pPr>
      <w:r>
        <w:rPr>
          <w:sz w:val="20"/>
        </w:rPr>
        <w:t xml:space="preserve">Please provide copies of any written documents that may be relevant or supportive of your complaint. </w:t>
      </w:r>
    </w:p>
    <w:p w14:paraId="20B9826F" w14:textId="77777777" w:rsidR="00646F0B" w:rsidRDefault="006030FE">
      <w:pPr>
        <w:tabs>
          <w:tab w:val="center" w:pos="2040"/>
          <w:tab w:val="center" w:pos="4320"/>
          <w:tab w:val="center" w:pos="5040"/>
          <w:tab w:val="center" w:pos="5998"/>
          <w:tab w:val="center" w:pos="6480"/>
          <w:tab w:val="center" w:pos="7421"/>
        </w:tabs>
        <w:spacing w:after="73"/>
      </w:pPr>
      <w:r>
        <w:rPr>
          <w:sz w:val="20"/>
        </w:rPr>
        <w:t xml:space="preserve"> </w:t>
      </w:r>
      <w:r>
        <w:rPr>
          <w:sz w:val="20"/>
        </w:rPr>
        <w:tab/>
        <w:t xml:space="preserve">I have attached supporting documents.   </w:t>
      </w:r>
      <w:r>
        <w:rPr>
          <w:sz w:val="20"/>
        </w:rPr>
        <w:tab/>
        <w:t xml:space="preserve"> </w:t>
      </w:r>
      <w:r>
        <w:rPr>
          <w:sz w:val="20"/>
        </w:rPr>
        <w:tab/>
        <w:t xml:space="preserve"> </w:t>
      </w:r>
      <w:r>
        <w:rPr>
          <w:sz w:val="20"/>
        </w:rPr>
        <w:tab/>
        <w:t xml:space="preserve">  Y es  </w:t>
      </w:r>
      <w:r>
        <w:rPr>
          <w:sz w:val="20"/>
        </w:rPr>
        <w:tab/>
        <w:t xml:space="preserve"> </w:t>
      </w:r>
      <w:r>
        <w:rPr>
          <w:sz w:val="20"/>
        </w:rPr>
        <w:tab/>
        <w:t xml:space="preserve">  No </w:t>
      </w:r>
    </w:p>
    <w:p w14:paraId="07CDAD1A" w14:textId="77777777" w:rsidR="00646F0B" w:rsidRDefault="006030FE">
      <w:pPr>
        <w:spacing w:after="77"/>
        <w:ind w:left="360"/>
      </w:pPr>
      <w:r>
        <w:rPr>
          <w:sz w:val="20"/>
        </w:rPr>
        <w:t xml:space="preserve"> </w:t>
      </w:r>
    </w:p>
    <w:p w14:paraId="17137B09" w14:textId="77777777" w:rsidR="00570D38" w:rsidRDefault="006030FE">
      <w:pPr>
        <w:spacing w:after="0" w:line="336" w:lineRule="auto"/>
        <w:ind w:right="2976"/>
        <w:rPr>
          <w:sz w:val="20"/>
        </w:rPr>
      </w:pPr>
      <w:r>
        <w:rPr>
          <w:sz w:val="20"/>
        </w:rPr>
        <w:t>Signature: ___________________________________________________________________</w:t>
      </w:r>
      <w:r w:rsidR="00570D38">
        <w:rPr>
          <w:sz w:val="20"/>
        </w:rPr>
        <w:t>__</w:t>
      </w:r>
    </w:p>
    <w:p w14:paraId="75DA0A7D" w14:textId="450CCCA4" w:rsidR="00570D38" w:rsidRDefault="006030FE">
      <w:pPr>
        <w:spacing w:after="0" w:line="336" w:lineRule="auto"/>
        <w:ind w:right="2976"/>
        <w:rPr>
          <w:sz w:val="20"/>
        </w:rPr>
      </w:pPr>
      <w:r>
        <w:rPr>
          <w:sz w:val="20"/>
        </w:rPr>
        <w:t xml:space="preserve"> </w:t>
      </w:r>
    </w:p>
    <w:p w14:paraId="78766A93" w14:textId="48D16674" w:rsidR="00646F0B" w:rsidRDefault="006030FE">
      <w:pPr>
        <w:spacing w:after="0" w:line="336" w:lineRule="auto"/>
        <w:ind w:right="2976"/>
      </w:pPr>
      <w:r>
        <w:rPr>
          <w:sz w:val="20"/>
        </w:rPr>
        <w:t xml:space="preserve">Date: __________________ </w:t>
      </w:r>
    </w:p>
    <w:p w14:paraId="71E38914" w14:textId="77777777" w:rsidR="00646F0B" w:rsidRDefault="006030FE">
      <w:pPr>
        <w:spacing w:after="109"/>
        <w:ind w:left="360"/>
      </w:pPr>
      <w:r>
        <w:rPr>
          <w:sz w:val="20"/>
        </w:rPr>
        <w:t xml:space="preserve"> </w:t>
      </w:r>
    </w:p>
    <w:p w14:paraId="5D883C4F" w14:textId="33F06301" w:rsidR="00570D38" w:rsidRDefault="006030FE" w:rsidP="00570D38">
      <w:pPr>
        <w:spacing w:after="0" w:line="311" w:lineRule="auto"/>
        <w:ind w:left="720" w:right="5892" w:hanging="720"/>
        <w:rPr>
          <w:sz w:val="24"/>
        </w:rPr>
      </w:pPr>
      <w:r>
        <w:rPr>
          <w:sz w:val="20"/>
        </w:rPr>
        <w:t>Mail complaint and any relevant documents to:</w:t>
      </w:r>
      <w:r>
        <w:rPr>
          <w:sz w:val="24"/>
        </w:rPr>
        <w:t xml:space="preserve"> </w:t>
      </w:r>
    </w:p>
    <w:p w14:paraId="4D420D3C" w14:textId="392F1011" w:rsidR="00570D38" w:rsidRPr="00570D38" w:rsidRDefault="00570D38" w:rsidP="00570D38">
      <w:pPr>
        <w:spacing w:after="0" w:line="311" w:lineRule="auto"/>
        <w:ind w:left="720" w:right="5892"/>
        <w:rPr>
          <w:sz w:val="24"/>
        </w:rPr>
      </w:pPr>
      <w:r>
        <w:rPr>
          <w:sz w:val="24"/>
        </w:rPr>
        <w:t>Dr. Sarah Bach, Executive Director</w:t>
      </w:r>
    </w:p>
    <w:p w14:paraId="6BCB2169" w14:textId="29E7CD19" w:rsidR="00646F0B" w:rsidRDefault="00570D38">
      <w:pPr>
        <w:spacing w:after="0"/>
        <w:ind w:left="720"/>
      </w:pPr>
      <w:r>
        <w:rPr>
          <w:sz w:val="24"/>
        </w:rPr>
        <w:t>Sycamore Creek Community Charter School</w:t>
      </w:r>
      <w:r w:rsidR="006030FE">
        <w:rPr>
          <w:sz w:val="24"/>
        </w:rPr>
        <w:t xml:space="preserve"> </w:t>
      </w:r>
    </w:p>
    <w:p w14:paraId="6ACDB214" w14:textId="291871D6" w:rsidR="00646F0B" w:rsidRDefault="00570D38">
      <w:pPr>
        <w:spacing w:after="0"/>
        <w:ind w:left="720"/>
      </w:pPr>
      <w:r>
        <w:rPr>
          <w:sz w:val="24"/>
        </w:rPr>
        <w:t>17131 Emerald Lane</w:t>
      </w:r>
      <w:r w:rsidR="006030FE">
        <w:rPr>
          <w:sz w:val="24"/>
        </w:rPr>
        <w:t xml:space="preserve"> </w:t>
      </w:r>
    </w:p>
    <w:p w14:paraId="703589B2" w14:textId="59269BAD" w:rsidR="00646F0B" w:rsidRDefault="00570D38">
      <w:pPr>
        <w:spacing w:after="0"/>
        <w:ind w:left="720"/>
      </w:pPr>
      <w:r>
        <w:rPr>
          <w:sz w:val="24"/>
        </w:rPr>
        <w:t>Huntington</w:t>
      </w:r>
      <w:r w:rsidR="006030FE">
        <w:rPr>
          <w:sz w:val="24"/>
        </w:rPr>
        <w:t xml:space="preserve"> Beach, C A 9</w:t>
      </w:r>
      <w:r>
        <w:rPr>
          <w:sz w:val="24"/>
        </w:rPr>
        <w:t>264</w:t>
      </w:r>
      <w:r w:rsidR="006030FE">
        <w:rPr>
          <w:sz w:val="24"/>
        </w:rPr>
        <w:t xml:space="preserve">7 </w:t>
      </w:r>
    </w:p>
    <w:p w14:paraId="50F0692D" w14:textId="77777777" w:rsidR="00646F0B" w:rsidRDefault="006030FE">
      <w:pPr>
        <w:spacing w:after="0"/>
      </w:pPr>
      <w:r>
        <w:rPr>
          <w:sz w:val="24"/>
        </w:rPr>
        <w:t xml:space="preserve"> </w:t>
      </w:r>
    </w:p>
    <w:p w14:paraId="31FFB266" w14:textId="77777777" w:rsidR="00646F0B" w:rsidRDefault="006030FE">
      <w:pPr>
        <w:spacing w:after="0"/>
      </w:pPr>
      <w:r>
        <w:rPr>
          <w:sz w:val="24"/>
        </w:rPr>
        <w:t xml:space="preserve"> </w:t>
      </w:r>
    </w:p>
    <w:p w14:paraId="396BBEBC" w14:textId="77777777" w:rsidR="00646F0B" w:rsidRDefault="006030FE">
      <w:pPr>
        <w:spacing w:after="0"/>
      </w:pPr>
      <w:r>
        <w:rPr>
          <w:sz w:val="24"/>
        </w:rPr>
        <w:t xml:space="preserve"> </w:t>
      </w:r>
    </w:p>
    <w:p w14:paraId="730DC9B0" w14:textId="3FCD9F49" w:rsidR="00646F0B" w:rsidRDefault="006030FE">
      <w:pPr>
        <w:spacing w:after="0"/>
      </w:pPr>
      <w:r>
        <w:rPr>
          <w:sz w:val="24"/>
        </w:rPr>
        <w:t xml:space="preserve"> </w:t>
      </w:r>
    </w:p>
    <w:sectPr w:rsidR="00646F0B">
      <w:headerReference w:type="default" r:id="rId7"/>
      <w:pgSz w:w="12240" w:h="15840"/>
      <w:pgMar w:top="727" w:right="700" w:bottom="7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9EA4" w14:textId="77777777" w:rsidR="005B49C8" w:rsidRDefault="005B49C8" w:rsidP="0005087C">
      <w:pPr>
        <w:spacing w:after="0" w:line="240" w:lineRule="auto"/>
      </w:pPr>
      <w:r>
        <w:separator/>
      </w:r>
    </w:p>
  </w:endnote>
  <w:endnote w:type="continuationSeparator" w:id="0">
    <w:p w14:paraId="14FB993B" w14:textId="77777777" w:rsidR="005B49C8" w:rsidRDefault="005B49C8" w:rsidP="0005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DC73" w14:textId="77777777" w:rsidR="005B49C8" w:rsidRDefault="005B49C8" w:rsidP="0005087C">
      <w:pPr>
        <w:spacing w:after="0" w:line="240" w:lineRule="auto"/>
      </w:pPr>
      <w:r>
        <w:separator/>
      </w:r>
    </w:p>
  </w:footnote>
  <w:footnote w:type="continuationSeparator" w:id="0">
    <w:p w14:paraId="13DE1517" w14:textId="77777777" w:rsidR="005B49C8" w:rsidRDefault="005B49C8" w:rsidP="0005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968B" w14:textId="3325E132" w:rsidR="0005087C" w:rsidRDefault="0005087C">
    <w:pPr>
      <w:pStyle w:val="Header"/>
    </w:pPr>
    <w:r>
      <w:rPr>
        <w:noProof/>
      </w:rPr>
      <w:drawing>
        <wp:inline distT="0" distB="0" distL="0" distR="0" wp14:anchorId="6F831893" wp14:editId="748F8237">
          <wp:extent cx="6096000" cy="124777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C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096000" cy="1247775"/>
                  </a:xfrm>
                  <a:prstGeom prst="rect">
                    <a:avLst/>
                  </a:prstGeom>
                </pic:spPr>
              </pic:pic>
            </a:graphicData>
          </a:graphic>
        </wp:inline>
      </w:drawing>
    </w:r>
  </w:p>
  <w:p w14:paraId="28DC365D" w14:textId="77777777" w:rsidR="0005087C" w:rsidRDefault="00050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64670"/>
    <w:multiLevelType w:val="hybridMultilevel"/>
    <w:tmpl w:val="F456303A"/>
    <w:lvl w:ilvl="0" w:tplc="ABB4AA94">
      <w:start w:val="100"/>
      <w:numFmt w:val="upperRoman"/>
      <w:pStyle w:val="Heading1"/>
      <w:lvlText w:val="%1"/>
      <w:lvlJc w:val="left"/>
      <w:pPr>
        <w:ind w:left="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7444D12E">
      <w:start w:val="1"/>
      <w:numFmt w:val="lowerLetter"/>
      <w:lvlText w:val="%2"/>
      <w:lvlJc w:val="left"/>
      <w:pPr>
        <w:ind w:left="10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6150B9B4">
      <w:start w:val="1"/>
      <w:numFmt w:val="lowerRoman"/>
      <w:lvlText w:val="%3"/>
      <w:lvlJc w:val="left"/>
      <w:pPr>
        <w:ind w:left="180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C1046842">
      <w:start w:val="1"/>
      <w:numFmt w:val="decimal"/>
      <w:lvlText w:val="%4"/>
      <w:lvlJc w:val="left"/>
      <w:pPr>
        <w:ind w:left="252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24A2AA54">
      <w:start w:val="1"/>
      <w:numFmt w:val="lowerLetter"/>
      <w:lvlText w:val="%5"/>
      <w:lvlJc w:val="left"/>
      <w:pPr>
        <w:ind w:left="324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DE3C3332">
      <w:start w:val="1"/>
      <w:numFmt w:val="lowerRoman"/>
      <w:lvlText w:val="%6"/>
      <w:lvlJc w:val="left"/>
      <w:pPr>
        <w:ind w:left="396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6088B2DA">
      <w:start w:val="1"/>
      <w:numFmt w:val="decimal"/>
      <w:lvlText w:val="%7"/>
      <w:lvlJc w:val="left"/>
      <w:pPr>
        <w:ind w:left="46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ED80E690">
      <w:start w:val="1"/>
      <w:numFmt w:val="lowerLetter"/>
      <w:lvlText w:val="%8"/>
      <w:lvlJc w:val="left"/>
      <w:pPr>
        <w:ind w:left="540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B7943340">
      <w:start w:val="1"/>
      <w:numFmt w:val="lowerRoman"/>
      <w:lvlText w:val="%9"/>
      <w:lvlJc w:val="left"/>
      <w:pPr>
        <w:ind w:left="612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1FED78A1"/>
    <w:multiLevelType w:val="hybridMultilevel"/>
    <w:tmpl w:val="02DE7D3C"/>
    <w:lvl w:ilvl="0" w:tplc="0772F79C">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EF8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AC38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886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CE9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8CC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81A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E0F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267D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607214"/>
    <w:multiLevelType w:val="hybridMultilevel"/>
    <w:tmpl w:val="5BD6AA76"/>
    <w:lvl w:ilvl="0" w:tplc="1A9AC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48CC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AFA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CA2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82A3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4C91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463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048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CAA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1117C8"/>
    <w:multiLevelType w:val="hybridMultilevel"/>
    <w:tmpl w:val="078613A4"/>
    <w:lvl w:ilvl="0" w:tplc="DF3464AC">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E68506">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9AC65A">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50842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26034E">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1C3AC4">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1A21C2">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C059BA">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286EBC">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C60A96"/>
    <w:multiLevelType w:val="hybridMultilevel"/>
    <w:tmpl w:val="B78AA562"/>
    <w:lvl w:ilvl="0" w:tplc="25A82A6C">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1AFF0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7E747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D24B0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B0673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F247C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E4963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60761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80DF4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3A19D3"/>
    <w:multiLevelType w:val="hybridMultilevel"/>
    <w:tmpl w:val="D25A6188"/>
    <w:lvl w:ilvl="0" w:tplc="366EA0B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C4B91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5236EE">
      <w:start w:val="1"/>
      <w:numFmt w:val="lowerRoman"/>
      <w:lvlText w:val="%3."/>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9833B8">
      <w:start w:val="1"/>
      <w:numFmt w:val="decimal"/>
      <w:lvlText w:val="%4"/>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269E48">
      <w:start w:val="1"/>
      <w:numFmt w:val="lowerLetter"/>
      <w:lvlText w:val="%5"/>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F40D14">
      <w:start w:val="1"/>
      <w:numFmt w:val="lowerRoman"/>
      <w:lvlText w:val="%6"/>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204128">
      <w:start w:val="1"/>
      <w:numFmt w:val="decimal"/>
      <w:lvlText w:val="%7"/>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56DC30">
      <w:start w:val="1"/>
      <w:numFmt w:val="lowerLetter"/>
      <w:lvlText w:val="%8"/>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F6A2F6">
      <w:start w:val="1"/>
      <w:numFmt w:val="lowerRoman"/>
      <w:lvlText w:val="%9"/>
      <w:lvlJc w:val="left"/>
      <w:pPr>
        <w:ind w:left="6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0B"/>
    <w:rsid w:val="0005087C"/>
    <w:rsid w:val="00260BAA"/>
    <w:rsid w:val="00570D38"/>
    <w:rsid w:val="005B49C8"/>
    <w:rsid w:val="006030FE"/>
    <w:rsid w:val="00646F0B"/>
    <w:rsid w:val="006D03B5"/>
    <w:rsid w:val="0074214E"/>
    <w:rsid w:val="008405C3"/>
    <w:rsid w:val="0096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A2C"/>
  <w15:docId w15:val="{140F098D-DF68-41D0-A537-06B27CD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pacing w:after="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5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7C"/>
    <w:rPr>
      <w:rFonts w:ascii="Calibri" w:eastAsia="Calibri" w:hAnsi="Calibri" w:cs="Calibri"/>
      <w:color w:val="000000"/>
    </w:rPr>
  </w:style>
  <w:style w:type="paragraph" w:styleId="Footer">
    <w:name w:val="footer"/>
    <w:basedOn w:val="Normal"/>
    <w:link w:val="FooterChar"/>
    <w:uiPriority w:val="99"/>
    <w:unhideWhenUsed/>
    <w:rsid w:val="0005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7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Uniform Complaint Procedure at IVA.docx</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Uniform Complaint Procedure at IVA.docx</dc:title>
  <dc:subject/>
  <dc:creator>Sarah Bach</dc:creator>
  <cp:keywords/>
  <cp:lastModifiedBy>Sarah Bach</cp:lastModifiedBy>
  <cp:revision>4</cp:revision>
  <dcterms:created xsi:type="dcterms:W3CDTF">2019-10-30T10:24:00Z</dcterms:created>
  <dcterms:modified xsi:type="dcterms:W3CDTF">2021-03-31T20:40:00Z</dcterms:modified>
</cp:coreProperties>
</file>